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C855" w14:textId="12DC12BA" w:rsidR="003330F0" w:rsidRDefault="001A6DA6" w:rsidP="007D5C96">
      <w:pPr>
        <w:spacing w:after="0"/>
      </w:pPr>
      <w:r>
        <w:rPr>
          <w:noProof/>
          <w:lang w:eastAsia="en-GB"/>
        </w:rPr>
        <w:drawing>
          <wp:anchor distT="0" distB="0" distL="114300" distR="114300" simplePos="0" relativeHeight="251658241" behindDoc="0" locked="0" layoutInCell="1" allowOverlap="1" wp14:anchorId="1FC71E2C" wp14:editId="39575376">
            <wp:simplePos x="0" y="0"/>
            <wp:positionH relativeFrom="page">
              <wp:posOffset>540385</wp:posOffset>
            </wp:positionH>
            <wp:positionV relativeFrom="page">
              <wp:posOffset>540385</wp:posOffset>
            </wp:positionV>
            <wp:extent cx="2160000" cy="6876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68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6A14B" w14:textId="77777777" w:rsidR="00E8547E" w:rsidRDefault="00E8547E" w:rsidP="00FA1ACD">
      <w:pPr>
        <w:spacing w:line="240" w:lineRule="auto"/>
        <w:contextualSpacing/>
      </w:pPr>
    </w:p>
    <w:p w14:paraId="39CB8EE8" w14:textId="77777777" w:rsidR="001A6DA6" w:rsidRPr="001A6DA6" w:rsidRDefault="001A6DA6" w:rsidP="001A6DA6">
      <w:pPr>
        <w:tabs>
          <w:tab w:val="left" w:pos="1620"/>
        </w:tabs>
        <w:rPr>
          <w:rFonts w:ascii="Arial" w:hAnsi="Arial" w:cs="Arial"/>
          <w:sz w:val="24"/>
        </w:rPr>
      </w:pPr>
    </w:p>
    <w:p w14:paraId="06659833" w14:textId="11044C05" w:rsidR="00FA1ACD" w:rsidRPr="001A6DA6" w:rsidRDefault="001A6DA6" w:rsidP="001A6DA6">
      <w:pPr>
        <w:tabs>
          <w:tab w:val="left" w:pos="1620"/>
        </w:tabs>
        <w:rPr>
          <w:rFonts w:ascii="Arial" w:hAnsi="Arial" w:cs="Arial"/>
          <w:b/>
          <w:bCs/>
          <w:sz w:val="36"/>
          <w:szCs w:val="36"/>
        </w:rPr>
      </w:pPr>
      <w:r w:rsidRPr="001A6DA6">
        <w:rPr>
          <w:rFonts w:ascii="Arial" w:hAnsi="Arial" w:cs="Arial"/>
          <w:b/>
          <w:bCs/>
          <w:sz w:val="36"/>
          <w:szCs w:val="36"/>
        </w:rPr>
        <w:t>Appendix</w:t>
      </w:r>
      <w:r w:rsidR="00C17938">
        <w:rPr>
          <w:rFonts w:ascii="Arial" w:hAnsi="Arial" w:cs="Arial"/>
          <w:b/>
          <w:bCs/>
          <w:sz w:val="36"/>
          <w:szCs w:val="36"/>
        </w:rPr>
        <w:t xml:space="preserve"> A</w:t>
      </w:r>
      <w:r w:rsidRPr="001A6DA6">
        <w:rPr>
          <w:rFonts w:ascii="Arial" w:hAnsi="Arial" w:cs="Arial"/>
          <w:b/>
          <w:bCs/>
          <w:sz w:val="36"/>
          <w:szCs w:val="36"/>
        </w:rPr>
        <w:t xml:space="preserve"> to Executive Team Report to the Board </w:t>
      </w:r>
      <w:r>
        <w:rPr>
          <w:rFonts w:ascii="Arial" w:hAnsi="Arial" w:cs="Arial"/>
          <w:b/>
          <w:bCs/>
          <w:sz w:val="36"/>
          <w:szCs w:val="36"/>
        </w:rPr>
        <w:br/>
      </w:r>
      <w:r w:rsidRPr="001A6DA6">
        <w:rPr>
          <w:rFonts w:ascii="Arial" w:hAnsi="Arial" w:cs="Arial"/>
          <w:b/>
          <w:bCs/>
          <w:sz w:val="36"/>
          <w:szCs w:val="36"/>
        </w:rPr>
        <w:t>(Chief Inspector of Adult Social Care’s report) – February 2022</w:t>
      </w:r>
    </w:p>
    <w:p w14:paraId="501A17C1" w14:textId="17D80589" w:rsidR="001A6DA6" w:rsidRPr="001A6DA6" w:rsidRDefault="001A6DA6" w:rsidP="001A6DA6">
      <w:pPr>
        <w:tabs>
          <w:tab w:val="left" w:pos="1620"/>
        </w:tabs>
        <w:rPr>
          <w:rFonts w:ascii="Arial" w:hAnsi="Arial" w:cs="Arial"/>
          <w:sz w:val="36"/>
          <w:szCs w:val="36"/>
        </w:rPr>
      </w:pPr>
      <w:r w:rsidRPr="001A6DA6">
        <w:rPr>
          <w:rFonts w:ascii="Arial" w:hAnsi="Arial" w:cs="Arial"/>
          <w:sz w:val="36"/>
          <w:szCs w:val="36"/>
        </w:rPr>
        <w:t>Update on adult social care workforce</w:t>
      </w:r>
    </w:p>
    <w:bookmarkStart w:id="0" w:name="_Hlk94707683" w:displacedByCustomXml="next"/>
    <w:sdt>
      <w:sdtPr>
        <w:rPr>
          <w:rFonts w:asciiTheme="minorHAnsi" w:eastAsiaTheme="minorHAnsi" w:hAnsiTheme="minorHAnsi" w:cstheme="minorBidi"/>
          <w:color w:val="auto"/>
          <w:sz w:val="22"/>
          <w:szCs w:val="22"/>
          <w:lang w:val="en-GB"/>
        </w:rPr>
        <w:id w:val="2064601695"/>
        <w:docPartObj>
          <w:docPartGallery w:val="Table of Contents"/>
          <w:docPartUnique/>
        </w:docPartObj>
      </w:sdtPr>
      <w:sdtEndPr>
        <w:rPr>
          <w:b/>
          <w:bCs/>
          <w:noProof/>
        </w:rPr>
      </w:sdtEndPr>
      <w:sdtContent>
        <w:p w14:paraId="391A3B4D" w14:textId="769CF13E" w:rsidR="00780728" w:rsidRDefault="00780728">
          <w:pPr>
            <w:pStyle w:val="TOCHeading"/>
          </w:pPr>
        </w:p>
        <w:p w14:paraId="01CD33C9" w14:textId="000E88CB" w:rsidR="0070495A" w:rsidRPr="00AD5F40" w:rsidRDefault="00780728">
          <w:pPr>
            <w:pStyle w:val="TOC2"/>
            <w:tabs>
              <w:tab w:val="left" w:pos="660"/>
            </w:tabs>
            <w:rPr>
              <w:rFonts w:ascii="Arial" w:eastAsiaTheme="minorEastAsia" w:hAnsi="Arial" w:cs="Arial"/>
              <w:noProof/>
              <w:sz w:val="28"/>
              <w:szCs w:val="28"/>
              <w:lang w:eastAsia="en-GB"/>
            </w:rPr>
          </w:pPr>
          <w:r w:rsidRPr="00AD5F40">
            <w:rPr>
              <w:rFonts w:ascii="Arial" w:hAnsi="Arial" w:cs="Arial"/>
              <w:sz w:val="28"/>
              <w:szCs w:val="28"/>
            </w:rPr>
            <w:fldChar w:fldCharType="begin"/>
          </w:r>
          <w:r w:rsidRPr="00AD5F40">
            <w:rPr>
              <w:rFonts w:ascii="Arial" w:hAnsi="Arial" w:cs="Arial"/>
              <w:sz w:val="28"/>
              <w:szCs w:val="28"/>
            </w:rPr>
            <w:instrText xml:space="preserve"> TOC \o "1-3" \h \z \u </w:instrText>
          </w:r>
          <w:r w:rsidRPr="00AD5F40">
            <w:rPr>
              <w:rFonts w:ascii="Arial" w:hAnsi="Arial" w:cs="Arial"/>
              <w:sz w:val="28"/>
              <w:szCs w:val="28"/>
            </w:rPr>
            <w:fldChar w:fldCharType="separate"/>
          </w:r>
          <w:hyperlink w:anchor="_Toc95382596" w:history="1">
            <w:r w:rsidR="0070495A" w:rsidRPr="00AD5F40">
              <w:rPr>
                <w:rStyle w:val="Hyperlink"/>
                <w:rFonts w:ascii="Arial" w:hAnsi="Arial" w:cs="Arial"/>
                <w:noProof/>
                <w:sz w:val="28"/>
                <w:szCs w:val="28"/>
              </w:rPr>
              <w:t>1.</w:t>
            </w:r>
            <w:r w:rsidR="0070495A" w:rsidRPr="00AD5F40">
              <w:rPr>
                <w:rFonts w:ascii="Arial" w:eastAsiaTheme="minorEastAsia" w:hAnsi="Arial" w:cs="Arial"/>
                <w:noProof/>
                <w:sz w:val="28"/>
                <w:szCs w:val="28"/>
                <w:lang w:eastAsia="en-GB"/>
              </w:rPr>
              <w:tab/>
            </w:r>
            <w:r w:rsidR="0070495A" w:rsidRPr="00AD5F40">
              <w:rPr>
                <w:rStyle w:val="Hyperlink"/>
                <w:rFonts w:ascii="Arial" w:hAnsi="Arial" w:cs="Arial"/>
                <w:noProof/>
                <w:sz w:val="28"/>
                <w:szCs w:val="28"/>
              </w:rPr>
              <w:t>Care home staff vacancy rates</w:t>
            </w:r>
            <w:r w:rsidR="0070495A" w:rsidRPr="00AD5F40">
              <w:rPr>
                <w:rFonts w:ascii="Arial" w:hAnsi="Arial" w:cs="Arial"/>
                <w:noProof/>
                <w:webHidden/>
                <w:sz w:val="28"/>
                <w:szCs w:val="28"/>
              </w:rPr>
              <w:tab/>
            </w:r>
            <w:r w:rsidR="0070495A" w:rsidRPr="00AD5F40">
              <w:rPr>
                <w:rFonts w:ascii="Arial" w:hAnsi="Arial" w:cs="Arial"/>
                <w:noProof/>
                <w:webHidden/>
                <w:sz w:val="28"/>
                <w:szCs w:val="28"/>
              </w:rPr>
              <w:fldChar w:fldCharType="begin"/>
            </w:r>
            <w:r w:rsidR="0070495A" w:rsidRPr="00AD5F40">
              <w:rPr>
                <w:rFonts w:ascii="Arial" w:hAnsi="Arial" w:cs="Arial"/>
                <w:noProof/>
                <w:webHidden/>
                <w:sz w:val="28"/>
                <w:szCs w:val="28"/>
              </w:rPr>
              <w:instrText xml:space="preserve"> PAGEREF _Toc95382596 \h </w:instrText>
            </w:r>
            <w:r w:rsidR="0070495A" w:rsidRPr="00AD5F40">
              <w:rPr>
                <w:rFonts w:ascii="Arial" w:hAnsi="Arial" w:cs="Arial"/>
                <w:noProof/>
                <w:webHidden/>
                <w:sz w:val="28"/>
                <w:szCs w:val="28"/>
              </w:rPr>
            </w:r>
            <w:r w:rsidR="0070495A" w:rsidRPr="00AD5F40">
              <w:rPr>
                <w:rFonts w:ascii="Arial" w:hAnsi="Arial" w:cs="Arial"/>
                <w:noProof/>
                <w:webHidden/>
                <w:sz w:val="28"/>
                <w:szCs w:val="28"/>
              </w:rPr>
              <w:fldChar w:fldCharType="separate"/>
            </w:r>
            <w:r w:rsidR="00AD5F40">
              <w:rPr>
                <w:rFonts w:ascii="Arial" w:hAnsi="Arial" w:cs="Arial"/>
                <w:noProof/>
                <w:webHidden/>
                <w:sz w:val="28"/>
                <w:szCs w:val="28"/>
              </w:rPr>
              <w:t>2</w:t>
            </w:r>
            <w:r w:rsidR="0070495A" w:rsidRPr="00AD5F40">
              <w:rPr>
                <w:rFonts w:ascii="Arial" w:hAnsi="Arial" w:cs="Arial"/>
                <w:noProof/>
                <w:webHidden/>
                <w:sz w:val="28"/>
                <w:szCs w:val="28"/>
              </w:rPr>
              <w:fldChar w:fldCharType="end"/>
            </w:r>
          </w:hyperlink>
        </w:p>
        <w:p w14:paraId="38484531" w14:textId="0B44F168" w:rsidR="0070495A" w:rsidRPr="00AD5F40" w:rsidRDefault="008D1C4B">
          <w:pPr>
            <w:pStyle w:val="TOC2"/>
            <w:tabs>
              <w:tab w:val="left" w:pos="660"/>
            </w:tabs>
            <w:rPr>
              <w:rFonts w:ascii="Arial" w:eastAsiaTheme="minorEastAsia" w:hAnsi="Arial" w:cs="Arial"/>
              <w:noProof/>
              <w:sz w:val="28"/>
              <w:szCs w:val="28"/>
              <w:lang w:eastAsia="en-GB"/>
            </w:rPr>
          </w:pPr>
          <w:hyperlink w:anchor="_Toc95382598" w:history="1">
            <w:r w:rsidR="0070495A" w:rsidRPr="00AD5F40">
              <w:rPr>
                <w:rStyle w:val="Hyperlink"/>
                <w:rFonts w:ascii="Arial" w:hAnsi="Arial" w:cs="Arial"/>
                <w:noProof/>
                <w:sz w:val="28"/>
                <w:szCs w:val="28"/>
              </w:rPr>
              <w:t>2.</w:t>
            </w:r>
            <w:r w:rsidR="0070495A" w:rsidRPr="00AD5F40">
              <w:rPr>
                <w:rFonts w:ascii="Arial" w:eastAsiaTheme="minorEastAsia" w:hAnsi="Arial" w:cs="Arial"/>
                <w:noProof/>
                <w:sz w:val="28"/>
                <w:szCs w:val="28"/>
                <w:lang w:eastAsia="en-GB"/>
              </w:rPr>
              <w:tab/>
            </w:r>
            <w:r w:rsidR="0070495A" w:rsidRPr="00AD5F40">
              <w:rPr>
                <w:rStyle w:val="Hyperlink"/>
                <w:rFonts w:ascii="Arial" w:hAnsi="Arial" w:cs="Arial"/>
                <w:noProof/>
                <w:sz w:val="28"/>
                <w:szCs w:val="28"/>
              </w:rPr>
              <w:t>Care home staff turnover rates</w:t>
            </w:r>
            <w:r w:rsidR="0070495A" w:rsidRPr="00AD5F40">
              <w:rPr>
                <w:rFonts w:ascii="Arial" w:hAnsi="Arial" w:cs="Arial"/>
                <w:noProof/>
                <w:webHidden/>
                <w:sz w:val="28"/>
                <w:szCs w:val="28"/>
              </w:rPr>
              <w:tab/>
            </w:r>
            <w:r w:rsidR="0070495A" w:rsidRPr="00AD5F40">
              <w:rPr>
                <w:rFonts w:ascii="Arial" w:hAnsi="Arial" w:cs="Arial"/>
                <w:noProof/>
                <w:webHidden/>
                <w:sz w:val="28"/>
                <w:szCs w:val="28"/>
              </w:rPr>
              <w:fldChar w:fldCharType="begin"/>
            </w:r>
            <w:r w:rsidR="0070495A" w:rsidRPr="00AD5F40">
              <w:rPr>
                <w:rFonts w:ascii="Arial" w:hAnsi="Arial" w:cs="Arial"/>
                <w:noProof/>
                <w:webHidden/>
                <w:sz w:val="28"/>
                <w:szCs w:val="28"/>
              </w:rPr>
              <w:instrText xml:space="preserve"> PAGEREF _Toc95382598 \h </w:instrText>
            </w:r>
            <w:r w:rsidR="0070495A" w:rsidRPr="00AD5F40">
              <w:rPr>
                <w:rFonts w:ascii="Arial" w:hAnsi="Arial" w:cs="Arial"/>
                <w:noProof/>
                <w:webHidden/>
                <w:sz w:val="28"/>
                <w:szCs w:val="28"/>
              </w:rPr>
            </w:r>
            <w:r w:rsidR="0070495A" w:rsidRPr="00AD5F40">
              <w:rPr>
                <w:rFonts w:ascii="Arial" w:hAnsi="Arial" w:cs="Arial"/>
                <w:noProof/>
                <w:webHidden/>
                <w:sz w:val="28"/>
                <w:szCs w:val="28"/>
              </w:rPr>
              <w:fldChar w:fldCharType="separate"/>
            </w:r>
            <w:r w:rsidR="00AD5F40">
              <w:rPr>
                <w:rFonts w:ascii="Arial" w:hAnsi="Arial" w:cs="Arial"/>
                <w:noProof/>
                <w:webHidden/>
                <w:sz w:val="28"/>
                <w:szCs w:val="28"/>
              </w:rPr>
              <w:t>3</w:t>
            </w:r>
            <w:r w:rsidR="0070495A" w:rsidRPr="00AD5F40">
              <w:rPr>
                <w:rFonts w:ascii="Arial" w:hAnsi="Arial" w:cs="Arial"/>
                <w:noProof/>
                <w:webHidden/>
                <w:sz w:val="28"/>
                <w:szCs w:val="28"/>
              </w:rPr>
              <w:fldChar w:fldCharType="end"/>
            </w:r>
          </w:hyperlink>
        </w:p>
        <w:p w14:paraId="479331DC" w14:textId="4CC90336" w:rsidR="0070495A" w:rsidRPr="00AD5F40" w:rsidRDefault="008D1C4B">
          <w:pPr>
            <w:pStyle w:val="TOC2"/>
            <w:tabs>
              <w:tab w:val="left" w:pos="660"/>
            </w:tabs>
            <w:rPr>
              <w:rFonts w:ascii="Arial" w:eastAsiaTheme="minorEastAsia" w:hAnsi="Arial" w:cs="Arial"/>
              <w:noProof/>
              <w:sz w:val="28"/>
              <w:szCs w:val="28"/>
              <w:lang w:eastAsia="en-GB"/>
            </w:rPr>
          </w:pPr>
          <w:hyperlink w:anchor="_Toc95382599" w:history="1">
            <w:r w:rsidR="0070495A" w:rsidRPr="00AD5F40">
              <w:rPr>
                <w:rStyle w:val="Hyperlink"/>
                <w:rFonts w:ascii="Arial" w:hAnsi="Arial" w:cs="Arial"/>
                <w:noProof/>
                <w:sz w:val="28"/>
                <w:szCs w:val="28"/>
              </w:rPr>
              <w:t>3.</w:t>
            </w:r>
            <w:r w:rsidR="0070495A" w:rsidRPr="00AD5F40">
              <w:rPr>
                <w:rFonts w:ascii="Arial" w:eastAsiaTheme="minorEastAsia" w:hAnsi="Arial" w:cs="Arial"/>
                <w:noProof/>
                <w:sz w:val="28"/>
                <w:szCs w:val="28"/>
                <w:lang w:eastAsia="en-GB"/>
              </w:rPr>
              <w:tab/>
            </w:r>
            <w:r w:rsidR="0070495A" w:rsidRPr="00AD5F40">
              <w:rPr>
                <w:rStyle w:val="Hyperlink"/>
                <w:rFonts w:ascii="Arial" w:hAnsi="Arial" w:cs="Arial"/>
                <w:noProof/>
                <w:sz w:val="28"/>
                <w:szCs w:val="28"/>
              </w:rPr>
              <w:t>Bed occupancy rates</w:t>
            </w:r>
            <w:r w:rsidR="0070495A" w:rsidRPr="00AD5F40">
              <w:rPr>
                <w:rFonts w:ascii="Arial" w:hAnsi="Arial" w:cs="Arial"/>
                <w:noProof/>
                <w:webHidden/>
                <w:sz w:val="28"/>
                <w:szCs w:val="28"/>
              </w:rPr>
              <w:tab/>
            </w:r>
            <w:r w:rsidR="0070495A" w:rsidRPr="00AD5F40">
              <w:rPr>
                <w:rFonts w:ascii="Arial" w:hAnsi="Arial" w:cs="Arial"/>
                <w:noProof/>
                <w:webHidden/>
                <w:sz w:val="28"/>
                <w:szCs w:val="28"/>
              </w:rPr>
              <w:fldChar w:fldCharType="begin"/>
            </w:r>
            <w:r w:rsidR="0070495A" w:rsidRPr="00AD5F40">
              <w:rPr>
                <w:rFonts w:ascii="Arial" w:hAnsi="Arial" w:cs="Arial"/>
                <w:noProof/>
                <w:webHidden/>
                <w:sz w:val="28"/>
                <w:szCs w:val="28"/>
              </w:rPr>
              <w:instrText xml:space="preserve"> PAGEREF _Toc95382599 \h </w:instrText>
            </w:r>
            <w:r w:rsidR="0070495A" w:rsidRPr="00AD5F40">
              <w:rPr>
                <w:rFonts w:ascii="Arial" w:hAnsi="Arial" w:cs="Arial"/>
                <w:noProof/>
                <w:webHidden/>
                <w:sz w:val="28"/>
                <w:szCs w:val="28"/>
              </w:rPr>
            </w:r>
            <w:r w:rsidR="0070495A" w:rsidRPr="00AD5F40">
              <w:rPr>
                <w:rFonts w:ascii="Arial" w:hAnsi="Arial" w:cs="Arial"/>
                <w:noProof/>
                <w:webHidden/>
                <w:sz w:val="28"/>
                <w:szCs w:val="28"/>
              </w:rPr>
              <w:fldChar w:fldCharType="separate"/>
            </w:r>
            <w:r w:rsidR="00AD5F40">
              <w:rPr>
                <w:rFonts w:ascii="Arial" w:hAnsi="Arial" w:cs="Arial"/>
                <w:noProof/>
                <w:webHidden/>
                <w:sz w:val="28"/>
                <w:szCs w:val="28"/>
              </w:rPr>
              <w:t>4</w:t>
            </w:r>
            <w:r w:rsidR="0070495A" w:rsidRPr="00AD5F40">
              <w:rPr>
                <w:rFonts w:ascii="Arial" w:hAnsi="Arial" w:cs="Arial"/>
                <w:noProof/>
                <w:webHidden/>
                <w:sz w:val="28"/>
                <w:szCs w:val="28"/>
              </w:rPr>
              <w:fldChar w:fldCharType="end"/>
            </w:r>
          </w:hyperlink>
        </w:p>
        <w:p w14:paraId="74EC9338" w14:textId="1F3C803B" w:rsidR="0070495A" w:rsidRPr="00AD5F40" w:rsidRDefault="008D1C4B">
          <w:pPr>
            <w:pStyle w:val="TOC2"/>
            <w:tabs>
              <w:tab w:val="left" w:pos="660"/>
            </w:tabs>
            <w:rPr>
              <w:rFonts w:ascii="Arial" w:eastAsiaTheme="minorEastAsia" w:hAnsi="Arial" w:cs="Arial"/>
              <w:noProof/>
              <w:sz w:val="28"/>
              <w:szCs w:val="28"/>
              <w:lang w:eastAsia="en-GB"/>
            </w:rPr>
          </w:pPr>
          <w:hyperlink w:anchor="_Toc95382600" w:history="1">
            <w:r w:rsidR="0070495A" w:rsidRPr="00AD5F40">
              <w:rPr>
                <w:rStyle w:val="Hyperlink"/>
                <w:rFonts w:ascii="Arial" w:hAnsi="Arial" w:cs="Arial"/>
                <w:noProof/>
                <w:sz w:val="28"/>
                <w:szCs w:val="28"/>
              </w:rPr>
              <w:t>4.</w:t>
            </w:r>
            <w:r w:rsidR="0070495A" w:rsidRPr="00AD5F40">
              <w:rPr>
                <w:rFonts w:ascii="Arial" w:eastAsiaTheme="minorEastAsia" w:hAnsi="Arial" w:cs="Arial"/>
                <w:noProof/>
                <w:sz w:val="28"/>
                <w:szCs w:val="28"/>
                <w:lang w:eastAsia="en-GB"/>
              </w:rPr>
              <w:tab/>
            </w:r>
            <w:r w:rsidR="0070495A" w:rsidRPr="00AD5F40">
              <w:rPr>
                <w:rStyle w:val="Hyperlink"/>
                <w:rFonts w:ascii="Arial" w:hAnsi="Arial" w:cs="Arial"/>
                <w:noProof/>
                <w:sz w:val="28"/>
                <w:szCs w:val="28"/>
              </w:rPr>
              <w:t>Staffing events that stop a service</w:t>
            </w:r>
            <w:r w:rsidR="0070495A" w:rsidRPr="00AD5F40">
              <w:rPr>
                <w:rFonts w:ascii="Arial" w:hAnsi="Arial" w:cs="Arial"/>
                <w:noProof/>
                <w:webHidden/>
                <w:sz w:val="28"/>
                <w:szCs w:val="28"/>
              </w:rPr>
              <w:tab/>
            </w:r>
            <w:r w:rsidR="0070495A" w:rsidRPr="00AD5F40">
              <w:rPr>
                <w:rFonts w:ascii="Arial" w:hAnsi="Arial" w:cs="Arial"/>
                <w:noProof/>
                <w:webHidden/>
                <w:sz w:val="28"/>
                <w:szCs w:val="28"/>
              </w:rPr>
              <w:fldChar w:fldCharType="begin"/>
            </w:r>
            <w:r w:rsidR="0070495A" w:rsidRPr="00AD5F40">
              <w:rPr>
                <w:rFonts w:ascii="Arial" w:hAnsi="Arial" w:cs="Arial"/>
                <w:noProof/>
                <w:webHidden/>
                <w:sz w:val="28"/>
                <w:szCs w:val="28"/>
              </w:rPr>
              <w:instrText xml:space="preserve"> PAGEREF _Toc95382600 \h </w:instrText>
            </w:r>
            <w:r w:rsidR="0070495A" w:rsidRPr="00AD5F40">
              <w:rPr>
                <w:rFonts w:ascii="Arial" w:hAnsi="Arial" w:cs="Arial"/>
                <w:noProof/>
                <w:webHidden/>
                <w:sz w:val="28"/>
                <w:szCs w:val="28"/>
              </w:rPr>
            </w:r>
            <w:r w:rsidR="0070495A" w:rsidRPr="00AD5F40">
              <w:rPr>
                <w:rFonts w:ascii="Arial" w:hAnsi="Arial" w:cs="Arial"/>
                <w:noProof/>
                <w:webHidden/>
                <w:sz w:val="28"/>
                <w:szCs w:val="28"/>
              </w:rPr>
              <w:fldChar w:fldCharType="separate"/>
            </w:r>
            <w:r w:rsidR="00AD5F40">
              <w:rPr>
                <w:rFonts w:ascii="Arial" w:hAnsi="Arial" w:cs="Arial"/>
                <w:noProof/>
                <w:webHidden/>
                <w:sz w:val="28"/>
                <w:szCs w:val="28"/>
              </w:rPr>
              <w:t>5</w:t>
            </w:r>
            <w:r w:rsidR="0070495A" w:rsidRPr="00AD5F40">
              <w:rPr>
                <w:rFonts w:ascii="Arial" w:hAnsi="Arial" w:cs="Arial"/>
                <w:noProof/>
                <w:webHidden/>
                <w:sz w:val="28"/>
                <w:szCs w:val="28"/>
              </w:rPr>
              <w:fldChar w:fldCharType="end"/>
            </w:r>
          </w:hyperlink>
        </w:p>
        <w:p w14:paraId="32D8C46E" w14:textId="528AE65B" w:rsidR="0070495A" w:rsidRPr="00AD5F40" w:rsidRDefault="008D1C4B">
          <w:pPr>
            <w:pStyle w:val="TOC2"/>
            <w:tabs>
              <w:tab w:val="left" w:pos="660"/>
            </w:tabs>
            <w:rPr>
              <w:rFonts w:ascii="Arial" w:eastAsiaTheme="minorEastAsia" w:hAnsi="Arial" w:cs="Arial"/>
              <w:noProof/>
              <w:sz w:val="28"/>
              <w:szCs w:val="28"/>
              <w:lang w:eastAsia="en-GB"/>
            </w:rPr>
          </w:pPr>
          <w:hyperlink w:anchor="_Toc95382601" w:history="1">
            <w:r w:rsidR="0070495A" w:rsidRPr="00AD5F40">
              <w:rPr>
                <w:rStyle w:val="Hyperlink"/>
                <w:rFonts w:ascii="Arial" w:hAnsi="Arial" w:cs="Arial"/>
                <w:noProof/>
                <w:sz w:val="28"/>
                <w:szCs w:val="28"/>
              </w:rPr>
              <w:t>5.</w:t>
            </w:r>
            <w:r w:rsidR="0070495A" w:rsidRPr="00AD5F40">
              <w:rPr>
                <w:rFonts w:ascii="Arial" w:eastAsiaTheme="minorEastAsia" w:hAnsi="Arial" w:cs="Arial"/>
                <w:noProof/>
                <w:sz w:val="28"/>
                <w:szCs w:val="28"/>
                <w:lang w:eastAsia="en-GB"/>
              </w:rPr>
              <w:tab/>
            </w:r>
            <w:r w:rsidR="0070495A" w:rsidRPr="00AD5F40">
              <w:rPr>
                <w:rStyle w:val="Hyperlink"/>
                <w:rFonts w:ascii="Arial" w:hAnsi="Arial" w:cs="Arial"/>
                <w:noProof/>
                <w:sz w:val="28"/>
                <w:szCs w:val="28"/>
              </w:rPr>
              <w:t>Care home registrations and de-registrations</w:t>
            </w:r>
            <w:r w:rsidR="0070495A" w:rsidRPr="00AD5F40">
              <w:rPr>
                <w:rFonts w:ascii="Arial" w:hAnsi="Arial" w:cs="Arial"/>
                <w:noProof/>
                <w:webHidden/>
                <w:sz w:val="28"/>
                <w:szCs w:val="28"/>
              </w:rPr>
              <w:tab/>
            </w:r>
            <w:r w:rsidR="0070495A" w:rsidRPr="00AD5F40">
              <w:rPr>
                <w:rFonts w:ascii="Arial" w:hAnsi="Arial" w:cs="Arial"/>
                <w:noProof/>
                <w:webHidden/>
                <w:sz w:val="28"/>
                <w:szCs w:val="28"/>
              </w:rPr>
              <w:fldChar w:fldCharType="begin"/>
            </w:r>
            <w:r w:rsidR="0070495A" w:rsidRPr="00AD5F40">
              <w:rPr>
                <w:rFonts w:ascii="Arial" w:hAnsi="Arial" w:cs="Arial"/>
                <w:noProof/>
                <w:webHidden/>
                <w:sz w:val="28"/>
                <w:szCs w:val="28"/>
              </w:rPr>
              <w:instrText xml:space="preserve"> PAGEREF _Toc95382601 \h </w:instrText>
            </w:r>
            <w:r w:rsidR="0070495A" w:rsidRPr="00AD5F40">
              <w:rPr>
                <w:rFonts w:ascii="Arial" w:hAnsi="Arial" w:cs="Arial"/>
                <w:noProof/>
                <w:webHidden/>
                <w:sz w:val="28"/>
                <w:szCs w:val="28"/>
              </w:rPr>
            </w:r>
            <w:r w:rsidR="0070495A" w:rsidRPr="00AD5F40">
              <w:rPr>
                <w:rFonts w:ascii="Arial" w:hAnsi="Arial" w:cs="Arial"/>
                <w:noProof/>
                <w:webHidden/>
                <w:sz w:val="28"/>
                <w:szCs w:val="28"/>
              </w:rPr>
              <w:fldChar w:fldCharType="separate"/>
            </w:r>
            <w:r w:rsidR="00AD5F40">
              <w:rPr>
                <w:rFonts w:ascii="Arial" w:hAnsi="Arial" w:cs="Arial"/>
                <w:noProof/>
                <w:webHidden/>
                <w:sz w:val="28"/>
                <w:szCs w:val="28"/>
              </w:rPr>
              <w:t>5</w:t>
            </w:r>
            <w:r w:rsidR="0070495A" w:rsidRPr="00AD5F40">
              <w:rPr>
                <w:rFonts w:ascii="Arial" w:hAnsi="Arial" w:cs="Arial"/>
                <w:noProof/>
                <w:webHidden/>
                <w:sz w:val="28"/>
                <w:szCs w:val="28"/>
              </w:rPr>
              <w:fldChar w:fldCharType="end"/>
            </w:r>
          </w:hyperlink>
        </w:p>
        <w:p w14:paraId="40F477D1" w14:textId="742A6CF1" w:rsidR="0070495A" w:rsidRPr="00AD5F40" w:rsidRDefault="008D1C4B">
          <w:pPr>
            <w:pStyle w:val="TOC2"/>
            <w:tabs>
              <w:tab w:val="left" w:pos="660"/>
            </w:tabs>
            <w:rPr>
              <w:rFonts w:ascii="Arial" w:eastAsiaTheme="minorEastAsia" w:hAnsi="Arial" w:cs="Arial"/>
              <w:noProof/>
              <w:sz w:val="28"/>
              <w:szCs w:val="28"/>
              <w:lang w:eastAsia="en-GB"/>
            </w:rPr>
          </w:pPr>
          <w:hyperlink w:anchor="_Toc95382602" w:history="1">
            <w:r w:rsidR="0070495A" w:rsidRPr="00AD5F40">
              <w:rPr>
                <w:rStyle w:val="Hyperlink"/>
                <w:rFonts w:ascii="Arial" w:hAnsi="Arial" w:cs="Arial"/>
                <w:noProof/>
                <w:sz w:val="28"/>
                <w:szCs w:val="28"/>
              </w:rPr>
              <w:t>6.</w:t>
            </w:r>
            <w:r w:rsidR="0070495A" w:rsidRPr="00AD5F40">
              <w:rPr>
                <w:rFonts w:ascii="Arial" w:eastAsiaTheme="minorEastAsia" w:hAnsi="Arial" w:cs="Arial"/>
                <w:noProof/>
                <w:sz w:val="28"/>
                <w:szCs w:val="28"/>
                <w:lang w:eastAsia="en-GB"/>
              </w:rPr>
              <w:tab/>
            </w:r>
            <w:r w:rsidR="0070495A" w:rsidRPr="00AD5F40">
              <w:rPr>
                <w:rStyle w:val="Hyperlink"/>
                <w:rFonts w:ascii="Arial" w:hAnsi="Arial" w:cs="Arial"/>
                <w:noProof/>
                <w:sz w:val="28"/>
                <w:szCs w:val="28"/>
              </w:rPr>
              <w:t>Adult social care workforce survey</w:t>
            </w:r>
            <w:r w:rsidR="0070495A" w:rsidRPr="00AD5F40">
              <w:rPr>
                <w:rFonts w:ascii="Arial" w:hAnsi="Arial" w:cs="Arial"/>
                <w:noProof/>
                <w:webHidden/>
                <w:sz w:val="28"/>
                <w:szCs w:val="28"/>
              </w:rPr>
              <w:tab/>
            </w:r>
            <w:r w:rsidR="0070495A" w:rsidRPr="00AD5F40">
              <w:rPr>
                <w:rFonts w:ascii="Arial" w:hAnsi="Arial" w:cs="Arial"/>
                <w:noProof/>
                <w:webHidden/>
                <w:sz w:val="28"/>
                <w:szCs w:val="28"/>
              </w:rPr>
              <w:fldChar w:fldCharType="begin"/>
            </w:r>
            <w:r w:rsidR="0070495A" w:rsidRPr="00AD5F40">
              <w:rPr>
                <w:rFonts w:ascii="Arial" w:hAnsi="Arial" w:cs="Arial"/>
                <w:noProof/>
                <w:webHidden/>
                <w:sz w:val="28"/>
                <w:szCs w:val="28"/>
              </w:rPr>
              <w:instrText xml:space="preserve"> PAGEREF _Toc95382602 \h </w:instrText>
            </w:r>
            <w:r w:rsidR="0070495A" w:rsidRPr="00AD5F40">
              <w:rPr>
                <w:rFonts w:ascii="Arial" w:hAnsi="Arial" w:cs="Arial"/>
                <w:noProof/>
                <w:webHidden/>
                <w:sz w:val="28"/>
                <w:szCs w:val="28"/>
              </w:rPr>
            </w:r>
            <w:r w:rsidR="0070495A" w:rsidRPr="00AD5F40">
              <w:rPr>
                <w:rFonts w:ascii="Arial" w:hAnsi="Arial" w:cs="Arial"/>
                <w:noProof/>
                <w:webHidden/>
                <w:sz w:val="28"/>
                <w:szCs w:val="28"/>
              </w:rPr>
              <w:fldChar w:fldCharType="separate"/>
            </w:r>
            <w:r w:rsidR="00AD5F40">
              <w:rPr>
                <w:rFonts w:ascii="Arial" w:hAnsi="Arial" w:cs="Arial"/>
                <w:noProof/>
                <w:webHidden/>
                <w:sz w:val="28"/>
                <w:szCs w:val="28"/>
              </w:rPr>
              <w:t>6</w:t>
            </w:r>
            <w:r w:rsidR="0070495A" w:rsidRPr="00AD5F40">
              <w:rPr>
                <w:rFonts w:ascii="Arial" w:hAnsi="Arial" w:cs="Arial"/>
                <w:noProof/>
                <w:webHidden/>
                <w:sz w:val="28"/>
                <w:szCs w:val="28"/>
              </w:rPr>
              <w:fldChar w:fldCharType="end"/>
            </w:r>
          </w:hyperlink>
        </w:p>
        <w:p w14:paraId="3E61D19D" w14:textId="63334952" w:rsidR="00780728" w:rsidRDefault="00780728">
          <w:r w:rsidRPr="00AD5F40">
            <w:rPr>
              <w:rFonts w:ascii="Arial" w:hAnsi="Arial" w:cs="Arial"/>
              <w:b/>
              <w:bCs/>
              <w:noProof/>
              <w:sz w:val="28"/>
              <w:szCs w:val="28"/>
            </w:rPr>
            <w:fldChar w:fldCharType="end"/>
          </w:r>
        </w:p>
      </w:sdtContent>
    </w:sdt>
    <w:p w14:paraId="58368171" w14:textId="77777777" w:rsidR="00780728" w:rsidRDefault="00780728" w:rsidP="00A117F8">
      <w:pPr>
        <w:pStyle w:val="Heading2"/>
      </w:pPr>
    </w:p>
    <w:p w14:paraId="2B440BB2" w14:textId="77777777" w:rsidR="00780728" w:rsidRDefault="00780728">
      <w:pPr>
        <w:rPr>
          <w:rFonts w:ascii="Arial" w:hAnsi="Arial" w:cs="Arial"/>
          <w:b/>
          <w:bCs/>
          <w:sz w:val="24"/>
        </w:rPr>
      </w:pPr>
      <w:r>
        <w:br w:type="page"/>
      </w:r>
    </w:p>
    <w:p w14:paraId="27C23164" w14:textId="4D6A5119" w:rsidR="001A6DA6" w:rsidRPr="00A117F8" w:rsidRDefault="00E64320" w:rsidP="009A422F">
      <w:pPr>
        <w:pStyle w:val="Heading2"/>
        <w:numPr>
          <w:ilvl w:val="0"/>
          <w:numId w:val="8"/>
        </w:numPr>
      </w:pPr>
      <w:bookmarkStart w:id="1" w:name="_Toc95382596"/>
      <w:r>
        <w:lastRenderedPageBreak/>
        <w:t>Care home s</w:t>
      </w:r>
      <w:r w:rsidR="001A6DA6" w:rsidRPr="00A117F8">
        <w:t>taff vacancy rates</w:t>
      </w:r>
      <w:bookmarkEnd w:id="1"/>
    </w:p>
    <w:p w14:paraId="71E356A9" w14:textId="2F4FADFC" w:rsidR="00A117F8" w:rsidRPr="00A117F8" w:rsidRDefault="00A117F8" w:rsidP="00A117F8">
      <w:pPr>
        <w:rPr>
          <w:rFonts w:ascii="Arial" w:hAnsi="Arial" w:cs="Arial"/>
          <w:sz w:val="24"/>
        </w:rPr>
      </w:pPr>
      <w:r w:rsidRPr="005F66F2">
        <w:rPr>
          <w:rFonts w:ascii="Arial" w:hAnsi="Arial" w:cs="Arial"/>
          <w:sz w:val="24"/>
        </w:rPr>
        <w:t>The care home staff vacancy rate steadily increase</w:t>
      </w:r>
      <w:r w:rsidR="0091529D">
        <w:rPr>
          <w:rFonts w:ascii="Arial" w:hAnsi="Arial" w:cs="Arial"/>
          <w:sz w:val="24"/>
        </w:rPr>
        <w:t>d</w:t>
      </w:r>
      <w:r w:rsidRPr="005F66F2">
        <w:rPr>
          <w:rFonts w:ascii="Arial" w:hAnsi="Arial" w:cs="Arial"/>
          <w:sz w:val="24"/>
        </w:rPr>
        <w:t xml:space="preserve"> throughout 2021 in England. The rate nearly doubled from 6% at the end of April</w:t>
      </w:r>
      <w:r w:rsidR="0091529D">
        <w:rPr>
          <w:rFonts w:ascii="Arial" w:hAnsi="Arial" w:cs="Arial"/>
          <w:sz w:val="24"/>
        </w:rPr>
        <w:t xml:space="preserve"> 2021</w:t>
      </w:r>
      <w:r w:rsidRPr="005F66F2">
        <w:rPr>
          <w:rFonts w:ascii="Arial" w:hAnsi="Arial" w:cs="Arial"/>
          <w:sz w:val="24"/>
        </w:rPr>
        <w:t xml:space="preserve">, to </w:t>
      </w:r>
      <w:r w:rsidR="002F28BA" w:rsidRPr="00AD5F40">
        <w:rPr>
          <w:rFonts w:ascii="Arial" w:hAnsi="Arial" w:cs="Arial"/>
          <w:sz w:val="24"/>
        </w:rPr>
        <w:t>11.4</w:t>
      </w:r>
      <w:r w:rsidRPr="00AD5F40">
        <w:rPr>
          <w:rFonts w:ascii="Arial" w:hAnsi="Arial" w:cs="Arial"/>
          <w:sz w:val="24"/>
        </w:rPr>
        <w:t xml:space="preserve">% at the end of </w:t>
      </w:r>
      <w:r w:rsidR="00966AD2" w:rsidRPr="00AD5F40">
        <w:rPr>
          <w:rFonts w:ascii="Arial" w:hAnsi="Arial" w:cs="Arial"/>
          <w:sz w:val="24"/>
        </w:rPr>
        <w:t>January</w:t>
      </w:r>
      <w:r w:rsidRPr="00AD5F40">
        <w:rPr>
          <w:rFonts w:ascii="Arial" w:hAnsi="Arial" w:cs="Arial"/>
          <w:sz w:val="24"/>
        </w:rPr>
        <w:t xml:space="preserve"> 202</w:t>
      </w:r>
      <w:r w:rsidR="00966AD2" w:rsidRPr="00AD5F40">
        <w:rPr>
          <w:rFonts w:ascii="Arial" w:hAnsi="Arial" w:cs="Arial"/>
          <w:sz w:val="24"/>
        </w:rPr>
        <w:t>2</w:t>
      </w:r>
      <w:r w:rsidR="008E7B67">
        <w:rPr>
          <w:rFonts w:ascii="Arial" w:hAnsi="Arial" w:cs="Arial"/>
          <w:sz w:val="24"/>
        </w:rPr>
        <w:t xml:space="preserve"> </w:t>
      </w:r>
      <w:r w:rsidR="008E7B67" w:rsidRPr="005F66F2">
        <w:rPr>
          <w:rFonts w:ascii="Arial" w:hAnsi="Arial" w:cs="Arial"/>
          <w:sz w:val="24"/>
        </w:rPr>
        <w:t>(figure 1)</w:t>
      </w:r>
      <w:r w:rsidR="00DE25CC">
        <w:rPr>
          <w:rFonts w:ascii="Arial" w:hAnsi="Arial" w:cs="Arial"/>
          <w:sz w:val="24"/>
        </w:rPr>
        <w:t xml:space="preserve">. The </w:t>
      </w:r>
      <w:r w:rsidR="006F1F6F">
        <w:rPr>
          <w:rFonts w:ascii="Arial" w:hAnsi="Arial" w:cs="Arial"/>
          <w:sz w:val="24"/>
        </w:rPr>
        <w:t>latest</w:t>
      </w:r>
      <w:r w:rsidR="00DE25CC">
        <w:rPr>
          <w:rFonts w:ascii="Arial" w:hAnsi="Arial" w:cs="Arial"/>
          <w:sz w:val="24"/>
        </w:rPr>
        <w:t xml:space="preserve"> data </w:t>
      </w:r>
      <w:r w:rsidR="00C03CBA">
        <w:rPr>
          <w:rFonts w:ascii="Arial" w:hAnsi="Arial" w:cs="Arial"/>
          <w:sz w:val="24"/>
        </w:rPr>
        <w:t>shows that rates are still high</w:t>
      </w:r>
      <w:r w:rsidR="00E6692F">
        <w:rPr>
          <w:rFonts w:ascii="Arial" w:hAnsi="Arial" w:cs="Arial"/>
          <w:sz w:val="24"/>
        </w:rPr>
        <w:t>,</w:t>
      </w:r>
      <w:r w:rsidR="00C03CBA">
        <w:rPr>
          <w:rFonts w:ascii="Arial" w:hAnsi="Arial" w:cs="Arial"/>
          <w:sz w:val="24"/>
        </w:rPr>
        <w:t xml:space="preserve"> but </w:t>
      </w:r>
      <w:r w:rsidR="007E20B6">
        <w:rPr>
          <w:rFonts w:ascii="Arial" w:hAnsi="Arial" w:cs="Arial"/>
          <w:sz w:val="24"/>
        </w:rPr>
        <w:t>have not increased</w:t>
      </w:r>
      <w:r w:rsidR="003C3DD8">
        <w:rPr>
          <w:rFonts w:ascii="Arial" w:hAnsi="Arial" w:cs="Arial"/>
          <w:sz w:val="24"/>
        </w:rPr>
        <w:t xml:space="preserve"> </w:t>
      </w:r>
      <w:r w:rsidR="0090098F">
        <w:rPr>
          <w:rFonts w:ascii="Arial" w:hAnsi="Arial" w:cs="Arial"/>
          <w:sz w:val="24"/>
        </w:rPr>
        <w:t>in the</w:t>
      </w:r>
      <w:r w:rsidR="003C3DD8">
        <w:rPr>
          <w:rFonts w:ascii="Arial" w:hAnsi="Arial" w:cs="Arial"/>
          <w:sz w:val="24"/>
        </w:rPr>
        <w:t xml:space="preserve"> last month.</w:t>
      </w:r>
      <w:r w:rsidR="007E20B6">
        <w:rPr>
          <w:rFonts w:ascii="Arial" w:hAnsi="Arial" w:cs="Arial"/>
          <w:sz w:val="24"/>
        </w:rPr>
        <w:t xml:space="preserve"> </w:t>
      </w:r>
      <w:r w:rsidR="003C3DD8">
        <w:rPr>
          <w:rFonts w:ascii="Arial" w:hAnsi="Arial" w:cs="Arial"/>
          <w:sz w:val="24"/>
        </w:rPr>
        <w:t>W</w:t>
      </w:r>
      <w:r w:rsidR="006F1F6F">
        <w:rPr>
          <w:rFonts w:ascii="Arial" w:hAnsi="Arial" w:cs="Arial"/>
          <w:sz w:val="24"/>
        </w:rPr>
        <w:t>e will continue to</w:t>
      </w:r>
      <w:r w:rsidR="008E0927">
        <w:rPr>
          <w:rFonts w:ascii="Arial" w:hAnsi="Arial" w:cs="Arial"/>
          <w:sz w:val="24"/>
        </w:rPr>
        <w:t xml:space="preserve"> monitor </w:t>
      </w:r>
      <w:r w:rsidR="003C3DD8">
        <w:rPr>
          <w:rFonts w:ascii="Arial" w:hAnsi="Arial" w:cs="Arial"/>
          <w:sz w:val="24"/>
        </w:rPr>
        <w:t>to monitor this trend</w:t>
      </w:r>
      <w:r w:rsidRPr="005F66F2">
        <w:rPr>
          <w:rFonts w:ascii="Arial" w:hAnsi="Arial" w:cs="Arial"/>
          <w:sz w:val="24"/>
        </w:rPr>
        <w:t>.</w:t>
      </w:r>
      <w:bookmarkEnd w:id="0"/>
      <w:r w:rsidR="00A00181" w:rsidRPr="00E96168">
        <w:t xml:space="preserve"> </w:t>
      </w:r>
      <w:r w:rsidR="00BD6703" w:rsidRPr="009A0816">
        <w:rPr>
          <w:rFonts w:ascii="Arial" w:hAnsi="Arial" w:cs="Arial"/>
          <w:sz w:val="24"/>
          <w:szCs w:val="24"/>
        </w:rPr>
        <w:t>As discussed</w:t>
      </w:r>
      <w:r w:rsidR="00BD6703" w:rsidRPr="009A0816">
        <w:rPr>
          <w:szCs w:val="24"/>
        </w:rPr>
        <w:t xml:space="preserve"> </w:t>
      </w:r>
      <w:hyperlink r:id="rId12" w:history="1">
        <w:r w:rsidR="00BD6703" w:rsidRPr="005F66F2">
          <w:rPr>
            <w:rStyle w:val="Hyperlink"/>
            <w:rFonts w:ascii="Arial" w:hAnsi="Arial" w:cs="Arial"/>
            <w:sz w:val="24"/>
            <w:szCs w:val="24"/>
          </w:rPr>
          <w:t>last month</w:t>
        </w:r>
      </w:hyperlink>
      <w:r w:rsidR="00BD6703" w:rsidRPr="005F66F2">
        <w:rPr>
          <w:szCs w:val="24"/>
        </w:rPr>
        <w:t xml:space="preserve">, </w:t>
      </w:r>
      <w:r w:rsidR="00BD6703" w:rsidRPr="005F66F2">
        <w:rPr>
          <w:rFonts w:ascii="Arial" w:hAnsi="Arial" w:cs="Arial"/>
          <w:sz w:val="24"/>
          <w:szCs w:val="24"/>
        </w:rPr>
        <w:t>all regions show an increase in vacancy rates in the</w:t>
      </w:r>
      <w:r w:rsidR="003F0A37" w:rsidRPr="00E96168">
        <w:rPr>
          <w:rStyle w:val="Hyperlink"/>
          <w:rFonts w:ascii="Arial" w:hAnsi="Arial" w:cs="Arial"/>
          <w:color w:val="auto"/>
          <w:sz w:val="24"/>
          <w:szCs w:val="24"/>
          <w:u w:val="none"/>
        </w:rPr>
        <w:t xml:space="preserve"> first three quarters of </w:t>
      </w:r>
      <w:r w:rsidR="00DB094E" w:rsidRPr="009A0816">
        <w:rPr>
          <w:rStyle w:val="Hyperlink"/>
          <w:rFonts w:ascii="Arial" w:hAnsi="Arial" w:cs="Arial"/>
          <w:color w:val="auto"/>
          <w:sz w:val="24"/>
          <w:szCs w:val="24"/>
          <w:u w:val="none"/>
        </w:rPr>
        <w:t>2021/22</w:t>
      </w:r>
      <w:r w:rsidR="00A00181" w:rsidRPr="009A0816">
        <w:rPr>
          <w:rFonts w:ascii="Arial" w:hAnsi="Arial" w:cs="Arial"/>
          <w:sz w:val="24"/>
          <w:szCs w:val="24"/>
        </w:rPr>
        <w:t>.</w:t>
      </w:r>
    </w:p>
    <w:p w14:paraId="735F9FCA" w14:textId="5E99E23C" w:rsidR="001A6DA6" w:rsidRDefault="003732CC" w:rsidP="005F66F2">
      <w:pPr>
        <w:tabs>
          <w:tab w:val="left" w:pos="1620"/>
        </w:tabs>
        <w:rPr>
          <w:rFonts w:ascii="Arial" w:hAnsi="Arial" w:cs="Arial"/>
          <w:sz w:val="24"/>
        </w:rPr>
      </w:pPr>
      <w:r w:rsidRPr="00966AD2">
        <w:rPr>
          <w:rFonts w:ascii="Arial" w:hAnsi="Arial" w:cs="Arial"/>
          <w:noProof/>
          <w:sz w:val="24"/>
        </w:rPr>
        <mc:AlternateContent>
          <mc:Choice Requires="wps">
            <w:drawing>
              <wp:anchor distT="45720" distB="45720" distL="114300" distR="114300" simplePos="0" relativeHeight="251658240" behindDoc="0" locked="0" layoutInCell="1" allowOverlap="1" wp14:anchorId="390C4FC8" wp14:editId="5F6D3D82">
                <wp:simplePos x="0" y="0"/>
                <wp:positionH relativeFrom="column">
                  <wp:posOffset>4977130</wp:posOffset>
                </wp:positionH>
                <wp:positionV relativeFrom="paragraph">
                  <wp:posOffset>133985</wp:posOffset>
                </wp:positionV>
                <wp:extent cx="38811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04620"/>
                        </a:xfrm>
                        <a:prstGeom prst="rect">
                          <a:avLst/>
                        </a:prstGeom>
                        <a:noFill/>
                        <a:ln w="9525">
                          <a:noFill/>
                          <a:miter lim="800000"/>
                          <a:headEnd/>
                          <a:tailEnd/>
                        </a:ln>
                      </wps:spPr>
                      <wps:txbx>
                        <w:txbxContent>
                          <w:p w14:paraId="0B266835" w14:textId="25494C33" w:rsidR="003548B9" w:rsidRDefault="003548B9">
                            <w:pPr>
                              <w:rPr>
                                <w:rFonts w:ascii="Arial" w:hAnsi="Arial" w:cs="Arial"/>
                                <w:b/>
                                <w:bCs/>
                                <w:sz w:val="24"/>
                                <w:szCs w:val="24"/>
                              </w:rPr>
                            </w:pPr>
                            <w:r w:rsidRPr="00966AD2">
                              <w:rPr>
                                <w:rFonts w:ascii="Arial" w:hAnsi="Arial" w:cs="Arial"/>
                                <w:b/>
                                <w:bCs/>
                                <w:sz w:val="24"/>
                                <w:szCs w:val="24"/>
                              </w:rPr>
                              <w:t xml:space="preserve">Figure 1: Staff vacancy rates in residential adult social care services, April 2021 to </w:t>
                            </w:r>
                            <w:r w:rsidR="002F28BA">
                              <w:rPr>
                                <w:rFonts w:ascii="Arial" w:hAnsi="Arial" w:cs="Arial"/>
                                <w:b/>
                                <w:bCs/>
                                <w:sz w:val="24"/>
                                <w:szCs w:val="24"/>
                              </w:rPr>
                              <w:t xml:space="preserve">31 </w:t>
                            </w:r>
                            <w:r w:rsidRPr="00966AD2">
                              <w:rPr>
                                <w:rFonts w:ascii="Arial" w:hAnsi="Arial" w:cs="Arial"/>
                                <w:b/>
                                <w:bCs/>
                                <w:sz w:val="24"/>
                                <w:szCs w:val="24"/>
                              </w:rPr>
                              <w:t>January 2022, England</w:t>
                            </w:r>
                          </w:p>
                          <w:p w14:paraId="184CB08B" w14:textId="511D89BB" w:rsidR="003548B9" w:rsidRDefault="003548B9">
                            <w:pPr>
                              <w:rPr>
                                <w:rFonts w:ascii="Arial" w:hAnsi="Arial" w:cs="Arial"/>
                                <w:b/>
                                <w:bCs/>
                                <w:sz w:val="24"/>
                                <w:szCs w:val="24"/>
                              </w:rPr>
                            </w:pPr>
                          </w:p>
                          <w:p w14:paraId="75399E7A" w14:textId="4C25C116" w:rsidR="003548B9" w:rsidRPr="00966AD2" w:rsidRDefault="003548B9" w:rsidP="00966AD2">
                            <w:pPr>
                              <w:rPr>
                                <w:rFonts w:ascii="Arial" w:hAnsi="Arial" w:cs="Arial"/>
                                <w:b/>
                                <w:bCs/>
                                <w:sz w:val="24"/>
                                <w:szCs w:val="24"/>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966AD2">
                              <w:rPr>
                                <w:rFonts w:ascii="Arial" w:hAnsi="Arial" w:cs="Arial"/>
                                <w:sz w:val="20"/>
                                <w:szCs w:val="20"/>
                              </w:rPr>
                              <w:t>Source: CQC residential adult social care provider information return</w:t>
                            </w:r>
                            <w:r>
                              <w:rPr>
                                <w:rFonts w:ascii="Arial" w:hAnsi="Arial" w:cs="Arial"/>
                                <w:sz w:val="20"/>
                                <w:szCs w:val="20"/>
                              </w:rPr>
                              <w:t>s</w:t>
                            </w:r>
                            <w:r w:rsidRPr="00966AD2">
                              <w:rPr>
                                <w:rFonts w:ascii="Arial" w:hAnsi="Arial" w:cs="Arial"/>
                                <w:sz w:val="20"/>
                                <w:szCs w:val="20"/>
                              </w:rPr>
                              <w:t xml:space="preserve"> (PIR</w:t>
                            </w:r>
                            <w:r>
                              <w:rPr>
                                <w:rFonts w:ascii="Arial" w:hAnsi="Arial" w:cs="Arial"/>
                                <w:sz w:val="20"/>
                                <w:szCs w:val="20"/>
                              </w:rPr>
                              <w:t>s</w:t>
                            </w:r>
                            <w:r w:rsidRPr="00966AD2">
                              <w:rPr>
                                <w:rFonts w:ascii="Arial" w:hAnsi="Arial" w:cs="Arial"/>
                                <w:sz w:val="20"/>
                                <w:szCs w:val="20"/>
                              </w:rPr>
                              <w:t xml:space="preserve">), returned 1 April </w:t>
                            </w:r>
                            <w:r>
                              <w:rPr>
                                <w:rFonts w:ascii="Arial" w:hAnsi="Arial" w:cs="Arial"/>
                                <w:sz w:val="20"/>
                                <w:szCs w:val="20"/>
                              </w:rPr>
                              <w:t xml:space="preserve">2021 </w:t>
                            </w:r>
                            <w:r w:rsidRPr="00206AEE">
                              <w:rPr>
                                <w:rFonts w:ascii="Arial" w:hAnsi="Arial" w:cs="Arial"/>
                                <w:sz w:val="20"/>
                                <w:szCs w:val="20"/>
                              </w:rPr>
                              <w:t xml:space="preserve">to </w:t>
                            </w:r>
                            <w:r w:rsidR="002F28BA" w:rsidRPr="00AD5F40">
                              <w:rPr>
                                <w:rFonts w:ascii="Arial" w:hAnsi="Arial" w:cs="Arial"/>
                                <w:sz w:val="20"/>
                                <w:szCs w:val="20"/>
                              </w:rPr>
                              <w:t>31</w:t>
                            </w:r>
                            <w:r w:rsidRPr="00AD5F40">
                              <w:rPr>
                                <w:rFonts w:ascii="Arial" w:hAnsi="Arial" w:cs="Arial"/>
                                <w:sz w:val="20"/>
                                <w:szCs w:val="20"/>
                              </w:rPr>
                              <w:t xml:space="preserve"> January 2022</w:t>
                            </w:r>
                            <w:r w:rsidRPr="005F66F2">
                              <w:rPr>
                                <w:rFonts w:ascii="Arial" w:hAnsi="Arial" w:cs="Arial"/>
                                <w:sz w:val="20"/>
                                <w:szCs w:val="20"/>
                              </w:rPr>
                              <w:t xml:space="preserve">. </w:t>
                            </w:r>
                            <w:r w:rsidRPr="00206AEE">
                              <w:rPr>
                                <w:rFonts w:ascii="Arial" w:hAnsi="Arial" w:cs="Arial"/>
                                <w:sz w:val="20"/>
                                <w:szCs w:val="20"/>
                              </w:rPr>
                              <w:t>Vacancy</w:t>
                            </w:r>
                            <w:r w:rsidRPr="00A26D3B">
                              <w:rPr>
                                <w:rFonts w:ascii="Arial" w:hAnsi="Arial" w:cs="Arial"/>
                                <w:sz w:val="20"/>
                                <w:szCs w:val="20"/>
                              </w:rPr>
                              <w:t xml:space="preserve"> rates = number of vacancies / (number of vacancies + number of staff)</w:t>
                            </w:r>
                            <w:r>
                              <w:rPr>
                                <w:rFonts w:ascii="Arial" w:hAnsi="Arial" w:cs="Arial"/>
                                <w:sz w:val="20"/>
                                <w:szCs w:val="20"/>
                              </w:rPr>
                              <w:t>.</w:t>
                            </w:r>
                            <w:r>
                              <w:rPr>
                                <w:rFonts w:ascii="Arial" w:hAnsi="Arial" w:cs="Arial"/>
                                <w:sz w:val="20"/>
                                <w:szCs w:val="20"/>
                              </w:rPr>
                              <w:br/>
                            </w:r>
                            <w:r w:rsidRPr="00966AD2">
                              <w:rPr>
                                <w:rFonts w:ascii="Arial" w:hAnsi="Arial" w:cs="Arial"/>
                                <w:sz w:val="20"/>
                                <w:szCs w:val="20"/>
                              </w:rPr>
                              <w:t>Some PIRs were excluded from the analysis due to failing data validation. Data validation is under continuous review which may result in changes to historical figures when applied retrospectively.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C4FC8" id="_x0000_t202" coordsize="21600,21600" o:spt="202" path="m,l,21600r21600,l21600,xe">
                <v:stroke joinstyle="miter"/>
                <v:path gradientshapeok="t" o:connecttype="rect"/>
              </v:shapetype>
              <v:shape id="Text Box 2" o:spid="_x0000_s1026" type="#_x0000_t202" style="position:absolute;margin-left:391.9pt;margin-top:10.55pt;width:305.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" filled="f" stroked="f">
                <v:textbox style="mso-fit-shape-to-text:t">
                  <w:txbxContent>
                    <w:p w14:paraId="0B266835" w14:textId="25494C33" w:rsidR="003548B9" w:rsidRDefault="003548B9">
                      <w:pPr>
                        <w:rPr>
                          <w:rFonts w:ascii="Arial" w:hAnsi="Arial" w:cs="Arial"/>
                          <w:b/>
                          <w:bCs/>
                          <w:sz w:val="24"/>
                          <w:szCs w:val="24"/>
                        </w:rPr>
                      </w:pPr>
                      <w:r w:rsidRPr="00966AD2">
                        <w:rPr>
                          <w:rFonts w:ascii="Arial" w:hAnsi="Arial" w:cs="Arial"/>
                          <w:b/>
                          <w:bCs/>
                          <w:sz w:val="24"/>
                          <w:szCs w:val="24"/>
                        </w:rPr>
                        <w:t xml:space="preserve">Figure 1: Staff vacancy rates in residential adult social care services, April 2021 to </w:t>
                      </w:r>
                      <w:r w:rsidR="002F28BA">
                        <w:rPr>
                          <w:rFonts w:ascii="Arial" w:hAnsi="Arial" w:cs="Arial"/>
                          <w:b/>
                          <w:bCs/>
                          <w:sz w:val="24"/>
                          <w:szCs w:val="24"/>
                        </w:rPr>
                        <w:t xml:space="preserve">31 </w:t>
                      </w:r>
                      <w:r w:rsidRPr="00966AD2">
                        <w:rPr>
                          <w:rFonts w:ascii="Arial" w:hAnsi="Arial" w:cs="Arial"/>
                          <w:b/>
                          <w:bCs/>
                          <w:sz w:val="24"/>
                          <w:szCs w:val="24"/>
                        </w:rPr>
                        <w:t>January 2022, England</w:t>
                      </w:r>
                    </w:p>
                    <w:p w14:paraId="184CB08B" w14:textId="511D89BB" w:rsidR="003548B9" w:rsidRDefault="003548B9">
                      <w:pPr>
                        <w:rPr>
                          <w:rFonts w:ascii="Arial" w:hAnsi="Arial" w:cs="Arial"/>
                          <w:b/>
                          <w:bCs/>
                          <w:sz w:val="24"/>
                          <w:szCs w:val="24"/>
                        </w:rPr>
                      </w:pPr>
                    </w:p>
                    <w:p w14:paraId="75399E7A" w14:textId="4C25C116" w:rsidR="003548B9" w:rsidRPr="00966AD2" w:rsidRDefault="003548B9" w:rsidP="00966AD2">
                      <w:pPr>
                        <w:rPr>
                          <w:rFonts w:ascii="Arial" w:hAnsi="Arial" w:cs="Arial"/>
                          <w:b/>
                          <w:bCs/>
                          <w:sz w:val="24"/>
                          <w:szCs w:val="24"/>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966AD2">
                        <w:rPr>
                          <w:rFonts w:ascii="Arial" w:hAnsi="Arial" w:cs="Arial"/>
                          <w:sz w:val="20"/>
                          <w:szCs w:val="20"/>
                        </w:rPr>
                        <w:t>Source: CQC residential adult social care provider information return</w:t>
                      </w:r>
                      <w:r>
                        <w:rPr>
                          <w:rFonts w:ascii="Arial" w:hAnsi="Arial" w:cs="Arial"/>
                          <w:sz w:val="20"/>
                          <w:szCs w:val="20"/>
                        </w:rPr>
                        <w:t>s</w:t>
                      </w:r>
                      <w:r w:rsidRPr="00966AD2">
                        <w:rPr>
                          <w:rFonts w:ascii="Arial" w:hAnsi="Arial" w:cs="Arial"/>
                          <w:sz w:val="20"/>
                          <w:szCs w:val="20"/>
                        </w:rPr>
                        <w:t xml:space="preserve"> (PIR</w:t>
                      </w:r>
                      <w:r>
                        <w:rPr>
                          <w:rFonts w:ascii="Arial" w:hAnsi="Arial" w:cs="Arial"/>
                          <w:sz w:val="20"/>
                          <w:szCs w:val="20"/>
                        </w:rPr>
                        <w:t>s</w:t>
                      </w:r>
                      <w:r w:rsidRPr="00966AD2">
                        <w:rPr>
                          <w:rFonts w:ascii="Arial" w:hAnsi="Arial" w:cs="Arial"/>
                          <w:sz w:val="20"/>
                          <w:szCs w:val="20"/>
                        </w:rPr>
                        <w:t xml:space="preserve">), returned 1 April </w:t>
                      </w:r>
                      <w:r>
                        <w:rPr>
                          <w:rFonts w:ascii="Arial" w:hAnsi="Arial" w:cs="Arial"/>
                          <w:sz w:val="20"/>
                          <w:szCs w:val="20"/>
                        </w:rPr>
                        <w:t xml:space="preserve">2021 </w:t>
                      </w:r>
                      <w:r w:rsidRPr="00206AEE">
                        <w:rPr>
                          <w:rFonts w:ascii="Arial" w:hAnsi="Arial" w:cs="Arial"/>
                          <w:sz w:val="20"/>
                          <w:szCs w:val="20"/>
                        </w:rPr>
                        <w:t xml:space="preserve">to </w:t>
                      </w:r>
                      <w:r w:rsidR="002F28BA" w:rsidRPr="00AD5F40">
                        <w:rPr>
                          <w:rFonts w:ascii="Arial" w:hAnsi="Arial" w:cs="Arial"/>
                          <w:sz w:val="20"/>
                          <w:szCs w:val="20"/>
                        </w:rPr>
                        <w:t>31</w:t>
                      </w:r>
                      <w:r w:rsidRPr="00AD5F40">
                        <w:rPr>
                          <w:rFonts w:ascii="Arial" w:hAnsi="Arial" w:cs="Arial"/>
                          <w:sz w:val="20"/>
                          <w:szCs w:val="20"/>
                        </w:rPr>
                        <w:t xml:space="preserve"> January 2022</w:t>
                      </w:r>
                      <w:r w:rsidRPr="005F66F2">
                        <w:rPr>
                          <w:rFonts w:ascii="Arial" w:hAnsi="Arial" w:cs="Arial"/>
                          <w:sz w:val="20"/>
                          <w:szCs w:val="20"/>
                        </w:rPr>
                        <w:t xml:space="preserve">. </w:t>
                      </w:r>
                      <w:r w:rsidRPr="00206AEE">
                        <w:rPr>
                          <w:rFonts w:ascii="Arial" w:hAnsi="Arial" w:cs="Arial"/>
                          <w:sz w:val="20"/>
                          <w:szCs w:val="20"/>
                        </w:rPr>
                        <w:t>Vacancy</w:t>
                      </w:r>
                      <w:r w:rsidRPr="00A26D3B">
                        <w:rPr>
                          <w:rFonts w:ascii="Arial" w:hAnsi="Arial" w:cs="Arial"/>
                          <w:sz w:val="20"/>
                          <w:szCs w:val="20"/>
                        </w:rPr>
                        <w:t xml:space="preserve"> rates = number of vacancies / (number of vacancies + number of staff)</w:t>
                      </w:r>
                      <w:r>
                        <w:rPr>
                          <w:rFonts w:ascii="Arial" w:hAnsi="Arial" w:cs="Arial"/>
                          <w:sz w:val="20"/>
                          <w:szCs w:val="20"/>
                        </w:rPr>
                        <w:t>.</w:t>
                      </w:r>
                      <w:r>
                        <w:rPr>
                          <w:rFonts w:ascii="Arial" w:hAnsi="Arial" w:cs="Arial"/>
                          <w:sz w:val="20"/>
                          <w:szCs w:val="20"/>
                        </w:rPr>
                        <w:br/>
                      </w:r>
                      <w:r w:rsidRPr="00966AD2">
                        <w:rPr>
                          <w:rFonts w:ascii="Arial" w:hAnsi="Arial" w:cs="Arial"/>
                          <w:sz w:val="20"/>
                          <w:szCs w:val="20"/>
                        </w:rPr>
                        <w:t>Some PIRs were excluded from the analysis due to failing data validation. Data validation is under continuous review which may result in changes to historical figures when applied retrospectively.</w:t>
                      </w:r>
                    </w:p>
                  </w:txbxContent>
                </v:textbox>
                <w10:wrap type="square"/>
              </v:shape>
            </w:pict>
          </mc:Fallback>
        </mc:AlternateContent>
      </w:r>
      <w:r w:rsidR="0027095B">
        <w:rPr>
          <w:noProof/>
        </w:rPr>
        <w:drawing>
          <wp:inline distT="0" distB="0" distL="0" distR="0" wp14:anchorId="5A143B22" wp14:editId="0CAA74D5">
            <wp:extent cx="4924425" cy="2954784"/>
            <wp:effectExtent l="0" t="0" r="0" b="0"/>
            <wp:docPr id="3" name="Chart 3">
              <a:extLst xmlns:a="http://schemas.openxmlformats.org/drawingml/2006/main">
                <a:ext uri="{FF2B5EF4-FFF2-40B4-BE49-F238E27FC236}">
                  <a16:creationId xmlns:a16="http://schemas.microsoft.com/office/drawing/2014/main" id="{F9D36016-CBE7-4EE2-A792-04C68D49057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AAE5EC" w14:textId="77777777" w:rsidR="00A26D3B" w:rsidRDefault="00A26D3B" w:rsidP="00966AD2">
      <w:pPr>
        <w:tabs>
          <w:tab w:val="left" w:pos="1620"/>
        </w:tabs>
        <w:rPr>
          <w:rFonts w:ascii="Arial" w:hAnsi="Arial" w:cs="Arial"/>
          <w:b/>
          <w:bCs/>
          <w:sz w:val="24"/>
        </w:rPr>
      </w:pPr>
      <w:bookmarkStart w:id="2" w:name="_Hlk94710810"/>
    </w:p>
    <w:p w14:paraId="57C76D49" w14:textId="77777777" w:rsidR="00A26D3B" w:rsidRDefault="00A26D3B" w:rsidP="00966AD2">
      <w:pPr>
        <w:tabs>
          <w:tab w:val="left" w:pos="1620"/>
        </w:tabs>
        <w:rPr>
          <w:rFonts w:ascii="Arial" w:hAnsi="Arial" w:cs="Arial"/>
          <w:b/>
          <w:bCs/>
          <w:sz w:val="24"/>
        </w:rPr>
      </w:pPr>
    </w:p>
    <w:p w14:paraId="09773835" w14:textId="77777777" w:rsidR="00780728" w:rsidRDefault="00780728" w:rsidP="00994D34">
      <w:pPr>
        <w:pStyle w:val="Heading2"/>
      </w:pPr>
    </w:p>
    <w:p w14:paraId="3E3DF4BC" w14:textId="77777777" w:rsidR="00780728" w:rsidRDefault="00780728" w:rsidP="00994D34">
      <w:pPr>
        <w:pStyle w:val="Heading2"/>
      </w:pPr>
    </w:p>
    <w:p w14:paraId="358C4A92" w14:textId="77777777" w:rsidR="00780728" w:rsidRDefault="00780728" w:rsidP="00994D34">
      <w:pPr>
        <w:pStyle w:val="Heading2"/>
      </w:pPr>
    </w:p>
    <w:p w14:paraId="38B1074A" w14:textId="22FD4DE1" w:rsidR="00966AD2" w:rsidRPr="00966AD2" w:rsidRDefault="00E64320" w:rsidP="009A422F">
      <w:pPr>
        <w:pStyle w:val="Heading2"/>
        <w:numPr>
          <w:ilvl w:val="0"/>
          <w:numId w:val="8"/>
        </w:numPr>
      </w:pPr>
      <w:bookmarkStart w:id="3" w:name="_Toc95382597"/>
      <w:bookmarkStart w:id="4" w:name="_Toc95382598"/>
      <w:bookmarkEnd w:id="3"/>
      <w:r>
        <w:lastRenderedPageBreak/>
        <w:t>Care home s</w:t>
      </w:r>
      <w:r w:rsidR="00966AD2" w:rsidRPr="00966AD2">
        <w:t xml:space="preserve">taff </w:t>
      </w:r>
      <w:r w:rsidR="0082459A">
        <w:t>turnover</w:t>
      </w:r>
      <w:r w:rsidR="00966AD2" w:rsidRPr="00966AD2">
        <w:t xml:space="preserve"> rates</w:t>
      </w:r>
      <w:bookmarkEnd w:id="4"/>
    </w:p>
    <w:p w14:paraId="1CD049E9" w14:textId="5A7184D5" w:rsidR="00BD5724" w:rsidRDefault="0082459A" w:rsidP="00961D29">
      <w:pPr>
        <w:tabs>
          <w:tab w:val="left" w:pos="1620"/>
        </w:tabs>
        <w:rPr>
          <w:rFonts w:ascii="Arial" w:hAnsi="Arial" w:cs="Arial"/>
          <w:sz w:val="24"/>
        </w:rPr>
      </w:pPr>
      <w:r>
        <w:rPr>
          <w:rFonts w:ascii="Arial" w:hAnsi="Arial" w:cs="Arial"/>
          <w:sz w:val="24"/>
        </w:rPr>
        <w:t xml:space="preserve">Care home staff turnover rates </w:t>
      </w:r>
      <w:r w:rsidRPr="0082459A">
        <w:rPr>
          <w:rFonts w:ascii="Arial" w:hAnsi="Arial" w:cs="Arial"/>
          <w:sz w:val="24"/>
        </w:rPr>
        <w:t>increase</w:t>
      </w:r>
      <w:r>
        <w:rPr>
          <w:rFonts w:ascii="Arial" w:hAnsi="Arial" w:cs="Arial"/>
          <w:sz w:val="24"/>
        </w:rPr>
        <w:t>d</w:t>
      </w:r>
      <w:r w:rsidRPr="0082459A">
        <w:rPr>
          <w:rFonts w:ascii="Arial" w:hAnsi="Arial" w:cs="Arial"/>
          <w:sz w:val="24"/>
        </w:rPr>
        <w:t xml:space="preserve"> </w:t>
      </w:r>
      <w:r>
        <w:rPr>
          <w:rFonts w:ascii="Arial" w:hAnsi="Arial" w:cs="Arial"/>
          <w:sz w:val="24"/>
        </w:rPr>
        <w:t>by</w:t>
      </w:r>
      <w:r w:rsidRPr="0082459A">
        <w:rPr>
          <w:rFonts w:ascii="Arial" w:hAnsi="Arial" w:cs="Arial"/>
          <w:sz w:val="24"/>
        </w:rPr>
        <w:t xml:space="preserve"> </w:t>
      </w:r>
      <w:r w:rsidR="0030334A">
        <w:rPr>
          <w:rFonts w:ascii="Arial" w:hAnsi="Arial" w:cs="Arial"/>
          <w:sz w:val="24"/>
        </w:rPr>
        <w:t>nearly</w:t>
      </w:r>
      <w:r w:rsidR="00282DA2">
        <w:rPr>
          <w:rFonts w:ascii="Arial" w:hAnsi="Arial" w:cs="Arial"/>
          <w:sz w:val="24"/>
        </w:rPr>
        <w:t xml:space="preserve"> </w:t>
      </w:r>
      <w:r w:rsidR="0030334A">
        <w:rPr>
          <w:rFonts w:ascii="Arial" w:hAnsi="Arial" w:cs="Arial"/>
          <w:sz w:val="24"/>
        </w:rPr>
        <w:t>10</w:t>
      </w:r>
      <w:r>
        <w:rPr>
          <w:rFonts w:ascii="Arial" w:hAnsi="Arial" w:cs="Arial"/>
          <w:sz w:val="24"/>
        </w:rPr>
        <w:t xml:space="preserve"> percentage</w:t>
      </w:r>
      <w:r w:rsidRPr="0082459A">
        <w:rPr>
          <w:rFonts w:ascii="Arial" w:hAnsi="Arial" w:cs="Arial"/>
          <w:sz w:val="24"/>
        </w:rPr>
        <w:t xml:space="preserve"> points</w:t>
      </w:r>
      <w:r w:rsidR="009B5CA7">
        <w:rPr>
          <w:rFonts w:ascii="Arial" w:hAnsi="Arial" w:cs="Arial"/>
          <w:sz w:val="24"/>
        </w:rPr>
        <w:t>, from 26.5% in April 2021 to 3</w:t>
      </w:r>
      <w:r w:rsidR="00257E00">
        <w:rPr>
          <w:rFonts w:ascii="Arial" w:hAnsi="Arial" w:cs="Arial"/>
          <w:sz w:val="24"/>
        </w:rPr>
        <w:t>6</w:t>
      </w:r>
      <w:r w:rsidR="009B5CA7">
        <w:rPr>
          <w:rFonts w:ascii="Arial" w:hAnsi="Arial" w:cs="Arial"/>
          <w:sz w:val="24"/>
        </w:rPr>
        <w:t>.</w:t>
      </w:r>
      <w:r w:rsidR="00257E00">
        <w:rPr>
          <w:rFonts w:ascii="Arial" w:hAnsi="Arial" w:cs="Arial"/>
          <w:sz w:val="24"/>
        </w:rPr>
        <w:t>3</w:t>
      </w:r>
      <w:r w:rsidR="009B5CA7">
        <w:rPr>
          <w:rFonts w:ascii="Arial" w:hAnsi="Arial" w:cs="Arial"/>
          <w:sz w:val="24"/>
        </w:rPr>
        <w:t xml:space="preserve">% in </w:t>
      </w:r>
      <w:r w:rsidR="00257E00">
        <w:rPr>
          <w:rFonts w:ascii="Arial" w:hAnsi="Arial" w:cs="Arial"/>
          <w:sz w:val="24"/>
        </w:rPr>
        <w:t>January 2022</w:t>
      </w:r>
      <w:r w:rsidR="0030334A">
        <w:rPr>
          <w:rFonts w:ascii="Arial" w:hAnsi="Arial" w:cs="Arial"/>
          <w:sz w:val="24"/>
        </w:rPr>
        <w:t xml:space="preserve"> </w:t>
      </w:r>
      <w:r w:rsidR="0030334A" w:rsidRPr="00966AD2">
        <w:rPr>
          <w:rFonts w:ascii="Arial" w:hAnsi="Arial" w:cs="Arial"/>
          <w:sz w:val="24"/>
        </w:rPr>
        <w:t xml:space="preserve">(figure </w:t>
      </w:r>
      <w:r w:rsidR="0030334A">
        <w:rPr>
          <w:rFonts w:ascii="Arial" w:hAnsi="Arial" w:cs="Arial"/>
          <w:sz w:val="24"/>
        </w:rPr>
        <w:t>2</w:t>
      </w:r>
      <w:r w:rsidR="0030334A" w:rsidRPr="00966AD2">
        <w:rPr>
          <w:rFonts w:ascii="Arial" w:hAnsi="Arial" w:cs="Arial"/>
          <w:sz w:val="24"/>
        </w:rPr>
        <w:t>)</w:t>
      </w:r>
      <w:r w:rsidR="009403C8">
        <w:rPr>
          <w:rFonts w:ascii="Arial" w:hAnsi="Arial" w:cs="Arial"/>
          <w:sz w:val="24"/>
        </w:rPr>
        <w:t>.</w:t>
      </w:r>
      <w:r w:rsidR="009403C8" w:rsidRPr="009403C8">
        <w:rPr>
          <w:rFonts w:ascii="Arial" w:hAnsi="Arial" w:cs="Arial"/>
          <w:sz w:val="24"/>
        </w:rPr>
        <w:t xml:space="preserve"> </w:t>
      </w:r>
      <w:r w:rsidR="009403C8">
        <w:rPr>
          <w:rFonts w:ascii="Arial" w:hAnsi="Arial" w:cs="Arial"/>
          <w:sz w:val="24"/>
        </w:rPr>
        <w:t xml:space="preserve">For context, Skills for Care </w:t>
      </w:r>
      <w:r w:rsidR="009403C8" w:rsidRPr="00961D29">
        <w:rPr>
          <w:rFonts w:ascii="Arial" w:hAnsi="Arial" w:cs="Arial"/>
          <w:sz w:val="24"/>
        </w:rPr>
        <w:t>estimate</w:t>
      </w:r>
      <w:r w:rsidR="009403C8">
        <w:rPr>
          <w:rFonts w:ascii="Arial" w:hAnsi="Arial" w:cs="Arial"/>
          <w:sz w:val="24"/>
        </w:rPr>
        <w:t>d</w:t>
      </w:r>
      <w:r w:rsidR="009403C8" w:rsidRPr="00961D29">
        <w:rPr>
          <w:rFonts w:ascii="Arial" w:hAnsi="Arial" w:cs="Arial"/>
          <w:sz w:val="24"/>
        </w:rPr>
        <w:t xml:space="preserve"> that the turnover rate of staff working in the adult social care sector was 28.5% in </w:t>
      </w:r>
      <w:hyperlink r:id="rId14" w:history="1">
        <w:r w:rsidR="009403C8" w:rsidRPr="00E02E56">
          <w:rPr>
            <w:rStyle w:val="Hyperlink"/>
            <w:rFonts w:ascii="Arial" w:hAnsi="Arial" w:cs="Arial"/>
            <w:sz w:val="24"/>
          </w:rPr>
          <w:t>2020/21</w:t>
        </w:r>
      </w:hyperlink>
      <w:r w:rsidR="009403C8">
        <w:rPr>
          <w:rFonts w:ascii="Arial" w:hAnsi="Arial" w:cs="Arial"/>
          <w:sz w:val="24"/>
        </w:rPr>
        <w:t xml:space="preserve">, and </w:t>
      </w:r>
      <w:r w:rsidR="009403C8" w:rsidRPr="006011B5">
        <w:rPr>
          <w:rFonts w:ascii="Arial" w:hAnsi="Arial" w:cs="Arial"/>
          <w:sz w:val="24"/>
        </w:rPr>
        <w:t xml:space="preserve">30.4% in </w:t>
      </w:r>
      <w:hyperlink r:id="rId15" w:history="1">
        <w:r w:rsidR="009403C8" w:rsidRPr="00710B13">
          <w:rPr>
            <w:rStyle w:val="Hyperlink"/>
            <w:rFonts w:ascii="Arial" w:hAnsi="Arial" w:cs="Arial"/>
            <w:sz w:val="24"/>
          </w:rPr>
          <w:t>2019/20</w:t>
        </w:r>
      </w:hyperlink>
      <w:r w:rsidR="009403C8">
        <w:rPr>
          <w:rFonts w:ascii="Arial" w:hAnsi="Arial" w:cs="Arial"/>
          <w:sz w:val="24"/>
        </w:rPr>
        <w:t>.</w:t>
      </w:r>
      <w:r w:rsidRPr="0082459A">
        <w:t xml:space="preserve"> </w:t>
      </w:r>
    </w:p>
    <w:bookmarkEnd w:id="2"/>
    <w:p w14:paraId="01C5A1BE" w14:textId="38EA28E7" w:rsidR="002D49DD" w:rsidRDefault="00574070" w:rsidP="00966AD2">
      <w:pPr>
        <w:tabs>
          <w:tab w:val="left" w:pos="1620"/>
        </w:tabs>
        <w:rPr>
          <w:rFonts w:ascii="Arial" w:hAnsi="Arial" w:cs="Arial"/>
          <w:sz w:val="24"/>
        </w:rPr>
      </w:pPr>
      <w:r>
        <w:rPr>
          <w:noProof/>
        </w:rPr>
        <w:drawing>
          <wp:inline distT="0" distB="0" distL="0" distR="0" wp14:anchorId="2EA22F19" wp14:editId="40F8CDFF">
            <wp:extent cx="4921250" cy="2952750"/>
            <wp:effectExtent l="0" t="0" r="0" b="0"/>
            <wp:docPr id="5" name="Chart 5">
              <a:extLst xmlns:a="http://schemas.openxmlformats.org/drawingml/2006/main">
                <a:ext uri="{FF2B5EF4-FFF2-40B4-BE49-F238E27FC236}">
                  <a16:creationId xmlns:a16="http://schemas.microsoft.com/office/drawing/2014/main" id="{34101E15-E21A-413D-A111-B2B4F57AEA2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82DA2" w:rsidRPr="00966AD2">
        <w:rPr>
          <w:rFonts w:ascii="Arial" w:hAnsi="Arial" w:cs="Arial"/>
          <w:noProof/>
          <w:sz w:val="24"/>
        </w:rPr>
        <mc:AlternateContent>
          <mc:Choice Requires="wps">
            <w:drawing>
              <wp:anchor distT="45720" distB="45720" distL="114300" distR="114300" simplePos="0" relativeHeight="251658242" behindDoc="0" locked="0" layoutInCell="1" allowOverlap="1" wp14:anchorId="21429C71" wp14:editId="7C450BA3">
                <wp:simplePos x="0" y="0"/>
                <wp:positionH relativeFrom="column">
                  <wp:posOffset>4962525</wp:posOffset>
                </wp:positionH>
                <wp:positionV relativeFrom="paragraph">
                  <wp:posOffset>-2540</wp:posOffset>
                </wp:positionV>
                <wp:extent cx="420052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259D7105" w14:textId="4FF16625" w:rsidR="003548B9" w:rsidRDefault="003548B9" w:rsidP="00282DA2">
                            <w:pPr>
                              <w:rPr>
                                <w:rFonts w:ascii="Arial" w:hAnsi="Arial" w:cs="Arial"/>
                                <w:b/>
                                <w:bCs/>
                                <w:sz w:val="24"/>
                                <w:szCs w:val="24"/>
                              </w:rPr>
                            </w:pPr>
                            <w:bookmarkStart w:id="5" w:name="_GoBack"/>
                            <w:r w:rsidRPr="005F66F2">
                              <w:rPr>
                                <w:rFonts w:ascii="Arial" w:hAnsi="Arial" w:cs="Arial"/>
                                <w:b/>
                                <w:bCs/>
                                <w:sz w:val="24"/>
                                <w:szCs w:val="24"/>
                              </w:rPr>
                              <w:t xml:space="preserve">Figure 2: Staff </w:t>
                            </w:r>
                            <w:r w:rsidRPr="00E96168">
                              <w:rPr>
                                <w:rFonts w:ascii="Arial" w:hAnsi="Arial" w:cs="Arial"/>
                                <w:b/>
                                <w:bCs/>
                                <w:sz w:val="24"/>
                                <w:szCs w:val="24"/>
                              </w:rPr>
                              <w:t xml:space="preserve">turnover rates in residential adult social care services, April 2021 to </w:t>
                            </w:r>
                            <w:r w:rsidR="00D92E18" w:rsidRPr="00AD5F40">
                              <w:rPr>
                                <w:rFonts w:ascii="Arial" w:hAnsi="Arial" w:cs="Arial"/>
                                <w:b/>
                                <w:bCs/>
                                <w:sz w:val="24"/>
                                <w:szCs w:val="24"/>
                              </w:rPr>
                              <w:t xml:space="preserve">January </w:t>
                            </w:r>
                            <w:r w:rsidRPr="00AD5F40">
                              <w:rPr>
                                <w:rFonts w:ascii="Arial" w:hAnsi="Arial" w:cs="Arial"/>
                                <w:b/>
                                <w:bCs/>
                                <w:sz w:val="24"/>
                                <w:szCs w:val="24"/>
                              </w:rPr>
                              <w:t>202</w:t>
                            </w:r>
                            <w:r w:rsidR="00D92E18" w:rsidRPr="005F66F2">
                              <w:rPr>
                                <w:rFonts w:ascii="Arial" w:hAnsi="Arial" w:cs="Arial"/>
                                <w:b/>
                                <w:bCs/>
                                <w:sz w:val="24"/>
                                <w:szCs w:val="24"/>
                              </w:rPr>
                              <w:t>2</w:t>
                            </w:r>
                            <w:r w:rsidRPr="005F66F2">
                              <w:rPr>
                                <w:rFonts w:ascii="Arial" w:hAnsi="Arial" w:cs="Arial"/>
                                <w:b/>
                                <w:bCs/>
                                <w:sz w:val="24"/>
                                <w:szCs w:val="24"/>
                              </w:rPr>
                              <w:t>, England</w:t>
                            </w:r>
                          </w:p>
                          <w:p w14:paraId="24059AAB" w14:textId="77777777" w:rsidR="003548B9" w:rsidRDefault="003548B9" w:rsidP="00282DA2">
                            <w:pPr>
                              <w:rPr>
                                <w:rFonts w:ascii="Arial" w:hAnsi="Arial" w:cs="Arial"/>
                                <w:b/>
                                <w:bCs/>
                                <w:sz w:val="24"/>
                                <w:szCs w:val="24"/>
                              </w:rPr>
                            </w:pPr>
                          </w:p>
                          <w:p w14:paraId="0B7B0624" w14:textId="77777777" w:rsidR="00B201B5" w:rsidRDefault="003548B9" w:rsidP="00B201B5">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5F66F2">
                              <w:rPr>
                                <w:rFonts w:ascii="Arial" w:hAnsi="Arial" w:cs="Arial"/>
                                <w:sz w:val="20"/>
                                <w:szCs w:val="20"/>
                              </w:rPr>
                              <w:t>Source: CQC residential adult social care provider information returns (PIR</w:t>
                            </w:r>
                            <w:r w:rsidRPr="00E96168">
                              <w:rPr>
                                <w:rFonts w:ascii="Arial" w:hAnsi="Arial" w:cs="Arial"/>
                                <w:sz w:val="20"/>
                                <w:szCs w:val="20"/>
                              </w:rPr>
                              <w:t xml:space="preserve">s), returned 1 April </w:t>
                            </w:r>
                            <w:r w:rsidRPr="009A0816">
                              <w:rPr>
                                <w:rFonts w:ascii="Arial" w:hAnsi="Arial" w:cs="Arial"/>
                                <w:sz w:val="20"/>
                                <w:szCs w:val="20"/>
                              </w:rPr>
                              <w:t xml:space="preserve">2021 to </w:t>
                            </w:r>
                            <w:r w:rsidRPr="00AD5F40">
                              <w:rPr>
                                <w:rFonts w:ascii="Arial" w:hAnsi="Arial" w:cs="Arial"/>
                                <w:sz w:val="20"/>
                                <w:szCs w:val="20"/>
                              </w:rPr>
                              <w:t xml:space="preserve">31 </w:t>
                            </w:r>
                            <w:r w:rsidR="00D92E18" w:rsidRPr="00AD5F40">
                              <w:rPr>
                                <w:rFonts w:ascii="Arial" w:hAnsi="Arial" w:cs="Arial"/>
                                <w:sz w:val="20"/>
                                <w:szCs w:val="20"/>
                              </w:rPr>
                              <w:t>January 202</w:t>
                            </w:r>
                            <w:r w:rsidR="00D92E18" w:rsidRPr="005F66F2">
                              <w:rPr>
                                <w:rFonts w:ascii="Arial" w:hAnsi="Arial" w:cs="Arial"/>
                                <w:sz w:val="20"/>
                                <w:szCs w:val="20"/>
                              </w:rPr>
                              <w:t>2</w:t>
                            </w:r>
                            <w:r w:rsidRPr="005F66F2">
                              <w:rPr>
                                <w:rFonts w:ascii="Arial" w:hAnsi="Arial" w:cs="Arial"/>
                                <w:sz w:val="20"/>
                                <w:szCs w:val="20"/>
                              </w:rPr>
                              <w:t xml:space="preserve">. </w:t>
                            </w:r>
                            <w:r w:rsidRPr="005F66F2">
                              <w:rPr>
                                <w:rFonts w:ascii="Arial" w:hAnsi="Arial" w:cs="Arial"/>
                                <w:sz w:val="20"/>
                                <w:szCs w:val="20"/>
                              </w:rPr>
                              <w:br/>
                            </w:r>
                            <w:r w:rsidRPr="00EA204F">
                              <w:rPr>
                                <w:rFonts w:ascii="Arial" w:hAnsi="Arial" w:cs="Arial"/>
                                <w:sz w:val="20"/>
                                <w:szCs w:val="20"/>
                              </w:rPr>
                              <w:t>Turnover rates = number of staff leaving in previous 12 months / number of staff</w:t>
                            </w:r>
                          </w:p>
                          <w:p w14:paraId="720F56AB" w14:textId="3E63CE7E" w:rsidR="00B201B5" w:rsidRPr="00966AD2" w:rsidRDefault="00B201B5" w:rsidP="00B201B5">
                            <w:pPr>
                              <w:rPr>
                                <w:rFonts w:ascii="Arial" w:hAnsi="Arial" w:cs="Arial"/>
                                <w:b/>
                                <w:bCs/>
                                <w:sz w:val="24"/>
                                <w:szCs w:val="24"/>
                              </w:rPr>
                            </w:pPr>
                            <w:r w:rsidRPr="00966AD2">
                              <w:rPr>
                                <w:rFonts w:ascii="Arial" w:hAnsi="Arial" w:cs="Arial"/>
                                <w:sz w:val="20"/>
                                <w:szCs w:val="20"/>
                              </w:rPr>
                              <w:t>Some PIRs were excluded from the analysis due to failing data validation. Data validation is under continuous review</w:t>
                            </w:r>
                            <w:r w:rsidR="00BE48C7">
                              <w:rPr>
                                <w:rFonts w:ascii="Arial" w:hAnsi="Arial" w:cs="Arial"/>
                                <w:sz w:val="20"/>
                                <w:szCs w:val="20"/>
                              </w:rPr>
                              <w:t>,</w:t>
                            </w:r>
                            <w:r w:rsidRPr="00966AD2">
                              <w:rPr>
                                <w:rFonts w:ascii="Arial" w:hAnsi="Arial" w:cs="Arial"/>
                                <w:sz w:val="20"/>
                                <w:szCs w:val="20"/>
                              </w:rPr>
                              <w:t xml:space="preserve"> which may result in changes to historical figures when applied retrospectively.</w:t>
                            </w:r>
                          </w:p>
                          <w:bookmarkEnd w:id="5"/>
                          <w:p w14:paraId="573A4900" w14:textId="77777777" w:rsidR="00B201B5" w:rsidRPr="00966AD2" w:rsidRDefault="00B201B5" w:rsidP="00282DA2">
                            <w:pPr>
                              <w:rPr>
                                <w:rFonts w:ascii="Arial" w:hAnsi="Arial" w:cs="Arial"/>
                                <w:b/>
                                <w:b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29C71" id="_x0000_s1027" type="#_x0000_t202" style="position:absolute;margin-left:390.75pt;margin-top:-.2pt;width:330.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" filled="f" stroked="f">
                <v:textbox style="mso-fit-shape-to-text:t">
                  <w:txbxContent>
                    <w:p w14:paraId="259D7105" w14:textId="4FF16625" w:rsidR="003548B9" w:rsidRDefault="003548B9" w:rsidP="00282DA2">
                      <w:pPr>
                        <w:rPr>
                          <w:rFonts w:ascii="Arial" w:hAnsi="Arial" w:cs="Arial"/>
                          <w:b/>
                          <w:bCs/>
                          <w:sz w:val="24"/>
                          <w:szCs w:val="24"/>
                        </w:rPr>
                      </w:pPr>
                      <w:bookmarkStart w:id="6" w:name="_GoBack"/>
                      <w:r w:rsidRPr="005F66F2">
                        <w:rPr>
                          <w:rFonts w:ascii="Arial" w:hAnsi="Arial" w:cs="Arial"/>
                          <w:b/>
                          <w:bCs/>
                          <w:sz w:val="24"/>
                          <w:szCs w:val="24"/>
                        </w:rPr>
                        <w:t xml:space="preserve">Figure 2: Staff </w:t>
                      </w:r>
                      <w:r w:rsidRPr="00E96168">
                        <w:rPr>
                          <w:rFonts w:ascii="Arial" w:hAnsi="Arial" w:cs="Arial"/>
                          <w:b/>
                          <w:bCs/>
                          <w:sz w:val="24"/>
                          <w:szCs w:val="24"/>
                        </w:rPr>
                        <w:t xml:space="preserve">turnover rates in residential adult social care services, April 2021 to </w:t>
                      </w:r>
                      <w:r w:rsidR="00D92E18" w:rsidRPr="00AD5F40">
                        <w:rPr>
                          <w:rFonts w:ascii="Arial" w:hAnsi="Arial" w:cs="Arial"/>
                          <w:b/>
                          <w:bCs/>
                          <w:sz w:val="24"/>
                          <w:szCs w:val="24"/>
                        </w:rPr>
                        <w:t xml:space="preserve">January </w:t>
                      </w:r>
                      <w:r w:rsidRPr="00AD5F40">
                        <w:rPr>
                          <w:rFonts w:ascii="Arial" w:hAnsi="Arial" w:cs="Arial"/>
                          <w:b/>
                          <w:bCs/>
                          <w:sz w:val="24"/>
                          <w:szCs w:val="24"/>
                        </w:rPr>
                        <w:t>202</w:t>
                      </w:r>
                      <w:r w:rsidR="00D92E18" w:rsidRPr="005F66F2">
                        <w:rPr>
                          <w:rFonts w:ascii="Arial" w:hAnsi="Arial" w:cs="Arial"/>
                          <w:b/>
                          <w:bCs/>
                          <w:sz w:val="24"/>
                          <w:szCs w:val="24"/>
                        </w:rPr>
                        <w:t>2</w:t>
                      </w:r>
                      <w:r w:rsidRPr="005F66F2">
                        <w:rPr>
                          <w:rFonts w:ascii="Arial" w:hAnsi="Arial" w:cs="Arial"/>
                          <w:b/>
                          <w:bCs/>
                          <w:sz w:val="24"/>
                          <w:szCs w:val="24"/>
                        </w:rPr>
                        <w:t>, England</w:t>
                      </w:r>
                    </w:p>
                    <w:p w14:paraId="24059AAB" w14:textId="77777777" w:rsidR="003548B9" w:rsidRDefault="003548B9" w:rsidP="00282DA2">
                      <w:pPr>
                        <w:rPr>
                          <w:rFonts w:ascii="Arial" w:hAnsi="Arial" w:cs="Arial"/>
                          <w:b/>
                          <w:bCs/>
                          <w:sz w:val="24"/>
                          <w:szCs w:val="24"/>
                        </w:rPr>
                      </w:pPr>
                    </w:p>
                    <w:p w14:paraId="0B7B0624" w14:textId="77777777" w:rsidR="00B201B5" w:rsidRDefault="003548B9" w:rsidP="00B201B5">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5F66F2">
                        <w:rPr>
                          <w:rFonts w:ascii="Arial" w:hAnsi="Arial" w:cs="Arial"/>
                          <w:sz w:val="20"/>
                          <w:szCs w:val="20"/>
                        </w:rPr>
                        <w:t>Source: CQC residential adult social care provider information returns (PIR</w:t>
                      </w:r>
                      <w:r w:rsidRPr="00E96168">
                        <w:rPr>
                          <w:rFonts w:ascii="Arial" w:hAnsi="Arial" w:cs="Arial"/>
                          <w:sz w:val="20"/>
                          <w:szCs w:val="20"/>
                        </w:rPr>
                        <w:t xml:space="preserve">s), returned 1 April </w:t>
                      </w:r>
                      <w:r w:rsidRPr="009A0816">
                        <w:rPr>
                          <w:rFonts w:ascii="Arial" w:hAnsi="Arial" w:cs="Arial"/>
                          <w:sz w:val="20"/>
                          <w:szCs w:val="20"/>
                        </w:rPr>
                        <w:t xml:space="preserve">2021 to </w:t>
                      </w:r>
                      <w:r w:rsidRPr="00AD5F40">
                        <w:rPr>
                          <w:rFonts w:ascii="Arial" w:hAnsi="Arial" w:cs="Arial"/>
                          <w:sz w:val="20"/>
                          <w:szCs w:val="20"/>
                        </w:rPr>
                        <w:t xml:space="preserve">31 </w:t>
                      </w:r>
                      <w:r w:rsidR="00D92E18" w:rsidRPr="00AD5F40">
                        <w:rPr>
                          <w:rFonts w:ascii="Arial" w:hAnsi="Arial" w:cs="Arial"/>
                          <w:sz w:val="20"/>
                          <w:szCs w:val="20"/>
                        </w:rPr>
                        <w:t>January 202</w:t>
                      </w:r>
                      <w:r w:rsidR="00D92E18" w:rsidRPr="005F66F2">
                        <w:rPr>
                          <w:rFonts w:ascii="Arial" w:hAnsi="Arial" w:cs="Arial"/>
                          <w:sz w:val="20"/>
                          <w:szCs w:val="20"/>
                        </w:rPr>
                        <w:t>2</w:t>
                      </w:r>
                      <w:r w:rsidRPr="005F66F2">
                        <w:rPr>
                          <w:rFonts w:ascii="Arial" w:hAnsi="Arial" w:cs="Arial"/>
                          <w:sz w:val="20"/>
                          <w:szCs w:val="20"/>
                        </w:rPr>
                        <w:t xml:space="preserve">. </w:t>
                      </w:r>
                      <w:r w:rsidRPr="005F66F2">
                        <w:rPr>
                          <w:rFonts w:ascii="Arial" w:hAnsi="Arial" w:cs="Arial"/>
                          <w:sz w:val="20"/>
                          <w:szCs w:val="20"/>
                        </w:rPr>
                        <w:br/>
                      </w:r>
                      <w:r w:rsidRPr="00EA204F">
                        <w:rPr>
                          <w:rFonts w:ascii="Arial" w:hAnsi="Arial" w:cs="Arial"/>
                          <w:sz w:val="20"/>
                          <w:szCs w:val="20"/>
                        </w:rPr>
                        <w:t>Turnover rates = number of staff leaving in previous 12 months / number of staff</w:t>
                      </w:r>
                    </w:p>
                    <w:p w14:paraId="720F56AB" w14:textId="3E63CE7E" w:rsidR="00B201B5" w:rsidRPr="00966AD2" w:rsidRDefault="00B201B5" w:rsidP="00B201B5">
                      <w:pPr>
                        <w:rPr>
                          <w:rFonts w:ascii="Arial" w:hAnsi="Arial" w:cs="Arial"/>
                          <w:b/>
                          <w:bCs/>
                          <w:sz w:val="24"/>
                          <w:szCs w:val="24"/>
                        </w:rPr>
                      </w:pPr>
                      <w:r w:rsidRPr="00966AD2">
                        <w:rPr>
                          <w:rFonts w:ascii="Arial" w:hAnsi="Arial" w:cs="Arial"/>
                          <w:sz w:val="20"/>
                          <w:szCs w:val="20"/>
                        </w:rPr>
                        <w:t>Some PIRs were excluded from the analysis due to failing data validation. Data validation is under continuous review</w:t>
                      </w:r>
                      <w:r w:rsidR="00BE48C7">
                        <w:rPr>
                          <w:rFonts w:ascii="Arial" w:hAnsi="Arial" w:cs="Arial"/>
                          <w:sz w:val="20"/>
                          <w:szCs w:val="20"/>
                        </w:rPr>
                        <w:t>,</w:t>
                      </w:r>
                      <w:r w:rsidRPr="00966AD2">
                        <w:rPr>
                          <w:rFonts w:ascii="Arial" w:hAnsi="Arial" w:cs="Arial"/>
                          <w:sz w:val="20"/>
                          <w:szCs w:val="20"/>
                        </w:rPr>
                        <w:t xml:space="preserve"> which may result in changes to historical figures when applied retrospectively.</w:t>
                      </w:r>
                    </w:p>
                    <w:bookmarkEnd w:id="6"/>
                    <w:p w14:paraId="573A4900" w14:textId="77777777" w:rsidR="00B201B5" w:rsidRPr="00966AD2" w:rsidRDefault="00B201B5" w:rsidP="00282DA2">
                      <w:pPr>
                        <w:rPr>
                          <w:rFonts w:ascii="Arial" w:hAnsi="Arial" w:cs="Arial"/>
                          <w:b/>
                          <w:bCs/>
                          <w:sz w:val="24"/>
                          <w:szCs w:val="24"/>
                        </w:rPr>
                      </w:pPr>
                    </w:p>
                  </w:txbxContent>
                </v:textbox>
              </v:shape>
            </w:pict>
          </mc:Fallback>
        </mc:AlternateContent>
      </w:r>
    </w:p>
    <w:p w14:paraId="79604192" w14:textId="77777777" w:rsidR="00A26D3B" w:rsidRDefault="00A26D3B">
      <w:pPr>
        <w:rPr>
          <w:rFonts w:ascii="Arial" w:hAnsi="Arial" w:cs="Arial"/>
          <w:b/>
          <w:bCs/>
          <w:sz w:val="24"/>
        </w:rPr>
      </w:pPr>
      <w:r>
        <w:rPr>
          <w:rFonts w:ascii="Arial" w:hAnsi="Arial" w:cs="Arial"/>
          <w:b/>
          <w:bCs/>
          <w:sz w:val="24"/>
        </w:rPr>
        <w:br w:type="page"/>
      </w:r>
    </w:p>
    <w:p w14:paraId="433D1C98" w14:textId="21A14B2D" w:rsidR="002D49DD" w:rsidRPr="00966AD2" w:rsidRDefault="002D49DD" w:rsidP="009A422F">
      <w:pPr>
        <w:pStyle w:val="Heading2"/>
        <w:numPr>
          <w:ilvl w:val="0"/>
          <w:numId w:val="8"/>
        </w:numPr>
      </w:pPr>
      <w:bookmarkStart w:id="7" w:name="_Toc95382599"/>
      <w:r>
        <w:lastRenderedPageBreak/>
        <w:t>Bed occupancy</w:t>
      </w:r>
      <w:r w:rsidRPr="00966AD2">
        <w:t xml:space="preserve"> rates</w:t>
      </w:r>
      <w:bookmarkEnd w:id="7"/>
    </w:p>
    <w:p w14:paraId="76F4151B" w14:textId="2D987E35" w:rsidR="00681D07" w:rsidRDefault="00681D07" w:rsidP="002D49DD">
      <w:pPr>
        <w:rPr>
          <w:rFonts w:ascii="Arial" w:hAnsi="Arial" w:cs="Arial"/>
          <w:sz w:val="24"/>
        </w:rPr>
      </w:pPr>
      <w:r>
        <w:rPr>
          <w:rFonts w:ascii="Arial" w:hAnsi="Arial" w:cs="Arial"/>
          <w:sz w:val="24"/>
        </w:rPr>
        <w:t xml:space="preserve">While staff vacancies and turnover have been increasing, bed occupancy started to rise from a low of around 75% in May 2021 to around </w:t>
      </w:r>
      <w:r w:rsidR="001F188E">
        <w:rPr>
          <w:rFonts w:ascii="Arial" w:hAnsi="Arial" w:cs="Arial"/>
          <w:sz w:val="24"/>
        </w:rPr>
        <w:t>80</w:t>
      </w:r>
      <w:r>
        <w:rPr>
          <w:rFonts w:ascii="Arial" w:hAnsi="Arial" w:cs="Arial"/>
          <w:sz w:val="24"/>
        </w:rPr>
        <w:t xml:space="preserve">% </w:t>
      </w:r>
      <w:r w:rsidR="001F188E">
        <w:rPr>
          <w:rFonts w:ascii="Arial" w:hAnsi="Arial" w:cs="Arial"/>
          <w:sz w:val="24"/>
        </w:rPr>
        <w:t>in January 2022</w:t>
      </w:r>
      <w:r w:rsidR="00044033">
        <w:rPr>
          <w:rFonts w:ascii="Arial" w:hAnsi="Arial" w:cs="Arial"/>
          <w:sz w:val="24"/>
        </w:rPr>
        <w:t xml:space="preserve"> </w:t>
      </w:r>
      <w:r w:rsidR="00A26D3B">
        <w:rPr>
          <w:rFonts w:ascii="Arial" w:hAnsi="Arial" w:cs="Arial"/>
          <w:sz w:val="24"/>
        </w:rPr>
        <w:t>(figure 3)</w:t>
      </w:r>
      <w:r>
        <w:rPr>
          <w:rFonts w:ascii="Arial" w:hAnsi="Arial" w:cs="Arial"/>
          <w:sz w:val="24"/>
        </w:rPr>
        <w:t>.</w:t>
      </w:r>
    </w:p>
    <w:p w14:paraId="72DB3C2A" w14:textId="11A10229" w:rsidR="00312698" w:rsidRDefault="00574070" w:rsidP="002D49DD">
      <w:pPr>
        <w:rPr>
          <w:rFonts w:ascii="Arial" w:hAnsi="Arial" w:cs="Arial"/>
          <w:sz w:val="24"/>
        </w:rPr>
      </w:pPr>
      <w:r>
        <w:rPr>
          <w:noProof/>
        </w:rPr>
        <w:drawing>
          <wp:inline distT="0" distB="0" distL="0" distR="0" wp14:anchorId="0A5FEA7B" wp14:editId="7E8A1028">
            <wp:extent cx="4787660" cy="2872596"/>
            <wp:effectExtent l="0" t="0" r="0" b="0"/>
            <wp:docPr id="8" name="Chart 8">
              <a:extLst xmlns:a="http://schemas.openxmlformats.org/drawingml/2006/main">
                <a:ext uri="{FF2B5EF4-FFF2-40B4-BE49-F238E27FC236}">
                  <a16:creationId xmlns:a16="http://schemas.microsoft.com/office/drawing/2014/main" id="{217DED2C-AC34-445E-A7E3-5C528446C75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26D3B" w:rsidRPr="00966AD2">
        <w:rPr>
          <w:rFonts w:ascii="Arial" w:hAnsi="Arial" w:cs="Arial"/>
          <w:noProof/>
          <w:sz w:val="24"/>
        </w:rPr>
        <mc:AlternateContent>
          <mc:Choice Requires="wps">
            <w:drawing>
              <wp:anchor distT="45720" distB="45720" distL="114300" distR="114300" simplePos="0" relativeHeight="251658243" behindDoc="0" locked="0" layoutInCell="1" allowOverlap="1" wp14:anchorId="48C37A87" wp14:editId="2484E6E3">
                <wp:simplePos x="0" y="0"/>
                <wp:positionH relativeFrom="column">
                  <wp:posOffset>4972050</wp:posOffset>
                </wp:positionH>
                <wp:positionV relativeFrom="paragraph">
                  <wp:posOffset>108585</wp:posOffset>
                </wp:positionV>
                <wp:extent cx="4200525"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3C0A8CF6" w14:textId="1157C066" w:rsidR="003548B9" w:rsidRDefault="003548B9" w:rsidP="00A26D3B">
                            <w:pPr>
                              <w:rPr>
                                <w:rFonts w:ascii="Arial" w:hAnsi="Arial" w:cs="Arial"/>
                                <w:b/>
                                <w:bCs/>
                                <w:sz w:val="24"/>
                                <w:szCs w:val="24"/>
                              </w:rPr>
                            </w:pPr>
                            <w:r w:rsidRPr="005F66F2">
                              <w:rPr>
                                <w:rFonts w:ascii="Arial" w:hAnsi="Arial" w:cs="Arial"/>
                                <w:b/>
                                <w:bCs/>
                                <w:sz w:val="24"/>
                                <w:szCs w:val="24"/>
                              </w:rPr>
                              <w:t>Figure 3</w:t>
                            </w:r>
                            <w:r w:rsidRPr="00E96168">
                              <w:rPr>
                                <w:rFonts w:ascii="Arial" w:hAnsi="Arial" w:cs="Arial"/>
                                <w:b/>
                                <w:bCs/>
                                <w:sz w:val="24"/>
                                <w:szCs w:val="24"/>
                              </w:rPr>
                              <w:t xml:space="preserve">: Bed occupancy rates in residential adult social care services, April 2021 to </w:t>
                            </w:r>
                            <w:r w:rsidR="00044033" w:rsidRPr="00AD5F40">
                              <w:rPr>
                                <w:rFonts w:ascii="Arial" w:hAnsi="Arial" w:cs="Arial"/>
                                <w:b/>
                                <w:bCs/>
                                <w:sz w:val="24"/>
                                <w:szCs w:val="24"/>
                              </w:rPr>
                              <w:t xml:space="preserve">January </w:t>
                            </w:r>
                            <w:r w:rsidRPr="00AD5F40">
                              <w:rPr>
                                <w:rFonts w:ascii="Arial" w:hAnsi="Arial" w:cs="Arial"/>
                                <w:b/>
                                <w:bCs/>
                                <w:sz w:val="24"/>
                                <w:szCs w:val="24"/>
                              </w:rPr>
                              <w:t>202</w:t>
                            </w:r>
                            <w:r w:rsidR="00044033" w:rsidRPr="005F66F2">
                              <w:rPr>
                                <w:rFonts w:ascii="Arial" w:hAnsi="Arial" w:cs="Arial"/>
                                <w:b/>
                                <w:bCs/>
                                <w:sz w:val="24"/>
                                <w:szCs w:val="24"/>
                              </w:rPr>
                              <w:t>2</w:t>
                            </w:r>
                            <w:r w:rsidRPr="005F66F2">
                              <w:rPr>
                                <w:rFonts w:ascii="Arial" w:hAnsi="Arial" w:cs="Arial"/>
                                <w:b/>
                                <w:bCs/>
                                <w:sz w:val="24"/>
                                <w:szCs w:val="24"/>
                              </w:rPr>
                              <w:t>, England</w:t>
                            </w:r>
                          </w:p>
                          <w:p w14:paraId="7BCE851E" w14:textId="77777777" w:rsidR="003548B9" w:rsidRDefault="003548B9" w:rsidP="00A26D3B">
                            <w:pPr>
                              <w:rPr>
                                <w:rFonts w:ascii="Arial" w:hAnsi="Arial" w:cs="Arial"/>
                                <w:b/>
                                <w:bCs/>
                                <w:sz w:val="24"/>
                                <w:szCs w:val="24"/>
                              </w:rPr>
                            </w:pPr>
                          </w:p>
                          <w:p w14:paraId="3CD5C23D" w14:textId="5E497F45" w:rsidR="003548B9" w:rsidRDefault="003548B9" w:rsidP="00A26D3B">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5F66F2">
                              <w:rPr>
                                <w:rFonts w:ascii="Arial" w:hAnsi="Arial" w:cs="Arial"/>
                                <w:sz w:val="20"/>
                                <w:szCs w:val="20"/>
                              </w:rPr>
                              <w:t>Source: CQC residential adult social care provider information return</w:t>
                            </w:r>
                            <w:r w:rsidRPr="00E96168">
                              <w:rPr>
                                <w:rFonts w:ascii="Arial" w:hAnsi="Arial" w:cs="Arial"/>
                                <w:sz w:val="20"/>
                                <w:szCs w:val="20"/>
                              </w:rPr>
                              <w:t xml:space="preserve">s (PIRs), returned 1 April 2021 </w:t>
                            </w:r>
                            <w:r w:rsidRPr="009A0816">
                              <w:rPr>
                                <w:rFonts w:ascii="Arial" w:hAnsi="Arial" w:cs="Arial"/>
                                <w:sz w:val="20"/>
                                <w:szCs w:val="20"/>
                              </w:rPr>
                              <w:t xml:space="preserve">to </w:t>
                            </w:r>
                            <w:r w:rsidRPr="00AD5F40">
                              <w:rPr>
                                <w:rFonts w:ascii="Arial" w:hAnsi="Arial" w:cs="Arial"/>
                                <w:sz w:val="20"/>
                                <w:szCs w:val="20"/>
                              </w:rPr>
                              <w:t xml:space="preserve">31 </w:t>
                            </w:r>
                            <w:r w:rsidR="00044033" w:rsidRPr="00AD5F40">
                              <w:rPr>
                                <w:rFonts w:ascii="Arial" w:hAnsi="Arial" w:cs="Arial"/>
                                <w:sz w:val="20"/>
                                <w:szCs w:val="20"/>
                              </w:rPr>
                              <w:t xml:space="preserve">January </w:t>
                            </w:r>
                            <w:r w:rsidRPr="00AD5F40">
                              <w:rPr>
                                <w:rFonts w:ascii="Arial" w:hAnsi="Arial" w:cs="Arial"/>
                                <w:sz w:val="20"/>
                                <w:szCs w:val="20"/>
                              </w:rPr>
                              <w:t>202</w:t>
                            </w:r>
                            <w:r w:rsidR="00044033" w:rsidRPr="005F66F2">
                              <w:rPr>
                                <w:rFonts w:ascii="Arial" w:hAnsi="Arial" w:cs="Arial"/>
                                <w:sz w:val="20"/>
                                <w:szCs w:val="20"/>
                              </w:rPr>
                              <w:t>2</w:t>
                            </w:r>
                            <w:r w:rsidRPr="005F66F2">
                              <w:rPr>
                                <w:rFonts w:ascii="Arial" w:hAnsi="Arial" w:cs="Arial"/>
                                <w:sz w:val="20"/>
                                <w:szCs w:val="20"/>
                              </w:rPr>
                              <w:t xml:space="preserve">. </w:t>
                            </w:r>
                            <w:r w:rsidRPr="00E96168">
                              <w:rPr>
                                <w:rFonts w:ascii="Arial" w:hAnsi="Arial" w:cs="Arial"/>
                                <w:sz w:val="20"/>
                                <w:szCs w:val="20"/>
                              </w:rPr>
                              <w:br/>
                            </w:r>
                            <w:r w:rsidRPr="005F66F2">
                              <w:rPr>
                                <w:rFonts w:ascii="Arial" w:hAnsi="Arial" w:cs="Arial"/>
                                <w:sz w:val="20"/>
                                <w:szCs w:val="20"/>
                              </w:rPr>
                              <w:t>Occupancy rates = number of people / number of beds</w:t>
                            </w:r>
                            <w:r w:rsidR="00AC4739">
                              <w:rPr>
                                <w:rFonts w:ascii="Arial" w:hAnsi="Arial" w:cs="Arial"/>
                                <w:sz w:val="20"/>
                                <w:szCs w:val="20"/>
                              </w:rPr>
                              <w:t xml:space="preserve"> at the </w:t>
                            </w:r>
                            <w:r w:rsidR="00722ABE">
                              <w:rPr>
                                <w:rFonts w:ascii="Arial" w:hAnsi="Arial" w:cs="Arial"/>
                                <w:sz w:val="20"/>
                                <w:szCs w:val="20"/>
                              </w:rPr>
                              <w:t>time of the return</w:t>
                            </w:r>
                          </w:p>
                          <w:p w14:paraId="3E58A8AD" w14:textId="2FCC08E1" w:rsidR="00B201B5" w:rsidRPr="00966AD2" w:rsidRDefault="00B201B5" w:rsidP="00A26D3B">
                            <w:pPr>
                              <w:rPr>
                                <w:rFonts w:ascii="Arial" w:hAnsi="Arial" w:cs="Arial"/>
                                <w:b/>
                                <w:bCs/>
                                <w:sz w:val="24"/>
                                <w:szCs w:val="24"/>
                              </w:rPr>
                            </w:pPr>
                            <w:r w:rsidRPr="00966AD2">
                              <w:rPr>
                                <w:rFonts w:ascii="Arial" w:hAnsi="Arial" w:cs="Arial"/>
                                <w:sz w:val="20"/>
                                <w:szCs w:val="20"/>
                              </w:rPr>
                              <w:t>Some PIRs were excluded from the analysis due to failing data validation. Data validation is under continuous review</w:t>
                            </w:r>
                            <w:r w:rsidR="009D15DB">
                              <w:rPr>
                                <w:rFonts w:ascii="Arial" w:hAnsi="Arial" w:cs="Arial"/>
                                <w:sz w:val="20"/>
                                <w:szCs w:val="20"/>
                              </w:rPr>
                              <w:t>,</w:t>
                            </w:r>
                            <w:r w:rsidRPr="00966AD2">
                              <w:rPr>
                                <w:rFonts w:ascii="Arial" w:hAnsi="Arial" w:cs="Arial"/>
                                <w:sz w:val="20"/>
                                <w:szCs w:val="20"/>
                              </w:rPr>
                              <w:t xml:space="preserve"> which may result in changes to historical figures when applied retrospectively.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37A87" id="_x0000_s1028" type="#_x0000_t202" style="position:absolute;margin-left:391.5pt;margin-top:8.55pt;width:330.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" filled="f" stroked="f">
                <v:textbox style="mso-fit-shape-to-text:t">
                  <w:txbxContent>
                    <w:p w14:paraId="3C0A8CF6" w14:textId="1157C066" w:rsidR="003548B9" w:rsidRDefault="003548B9" w:rsidP="00A26D3B">
                      <w:pPr>
                        <w:rPr>
                          <w:rFonts w:ascii="Arial" w:hAnsi="Arial" w:cs="Arial"/>
                          <w:b/>
                          <w:bCs/>
                          <w:sz w:val="24"/>
                          <w:szCs w:val="24"/>
                        </w:rPr>
                      </w:pPr>
                      <w:r w:rsidRPr="005F66F2">
                        <w:rPr>
                          <w:rFonts w:ascii="Arial" w:hAnsi="Arial" w:cs="Arial"/>
                          <w:b/>
                          <w:bCs/>
                          <w:sz w:val="24"/>
                          <w:szCs w:val="24"/>
                        </w:rPr>
                        <w:t>Figure 3</w:t>
                      </w:r>
                      <w:r w:rsidRPr="00E96168">
                        <w:rPr>
                          <w:rFonts w:ascii="Arial" w:hAnsi="Arial" w:cs="Arial"/>
                          <w:b/>
                          <w:bCs/>
                          <w:sz w:val="24"/>
                          <w:szCs w:val="24"/>
                        </w:rPr>
                        <w:t xml:space="preserve">: Bed occupancy rates in residential adult social care services, April 2021 to </w:t>
                      </w:r>
                      <w:r w:rsidR="00044033" w:rsidRPr="00AD5F40">
                        <w:rPr>
                          <w:rFonts w:ascii="Arial" w:hAnsi="Arial" w:cs="Arial"/>
                          <w:b/>
                          <w:bCs/>
                          <w:sz w:val="24"/>
                          <w:szCs w:val="24"/>
                        </w:rPr>
                        <w:t xml:space="preserve">January </w:t>
                      </w:r>
                      <w:r w:rsidRPr="00AD5F40">
                        <w:rPr>
                          <w:rFonts w:ascii="Arial" w:hAnsi="Arial" w:cs="Arial"/>
                          <w:b/>
                          <w:bCs/>
                          <w:sz w:val="24"/>
                          <w:szCs w:val="24"/>
                        </w:rPr>
                        <w:t>202</w:t>
                      </w:r>
                      <w:r w:rsidR="00044033" w:rsidRPr="005F66F2">
                        <w:rPr>
                          <w:rFonts w:ascii="Arial" w:hAnsi="Arial" w:cs="Arial"/>
                          <w:b/>
                          <w:bCs/>
                          <w:sz w:val="24"/>
                          <w:szCs w:val="24"/>
                        </w:rPr>
                        <w:t>2</w:t>
                      </w:r>
                      <w:r w:rsidRPr="005F66F2">
                        <w:rPr>
                          <w:rFonts w:ascii="Arial" w:hAnsi="Arial" w:cs="Arial"/>
                          <w:b/>
                          <w:bCs/>
                          <w:sz w:val="24"/>
                          <w:szCs w:val="24"/>
                        </w:rPr>
                        <w:t>, England</w:t>
                      </w:r>
                    </w:p>
                    <w:p w14:paraId="7BCE851E" w14:textId="77777777" w:rsidR="003548B9" w:rsidRDefault="003548B9" w:rsidP="00A26D3B">
                      <w:pPr>
                        <w:rPr>
                          <w:rFonts w:ascii="Arial" w:hAnsi="Arial" w:cs="Arial"/>
                          <w:b/>
                          <w:bCs/>
                          <w:sz w:val="24"/>
                          <w:szCs w:val="24"/>
                        </w:rPr>
                      </w:pPr>
                    </w:p>
                    <w:p w14:paraId="3CD5C23D" w14:textId="5E497F45" w:rsidR="003548B9" w:rsidRDefault="003548B9" w:rsidP="00A26D3B">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5F66F2">
                        <w:rPr>
                          <w:rFonts w:ascii="Arial" w:hAnsi="Arial" w:cs="Arial"/>
                          <w:sz w:val="20"/>
                          <w:szCs w:val="20"/>
                        </w:rPr>
                        <w:t>Source: CQC residential adult social care provider information return</w:t>
                      </w:r>
                      <w:r w:rsidRPr="00E96168">
                        <w:rPr>
                          <w:rFonts w:ascii="Arial" w:hAnsi="Arial" w:cs="Arial"/>
                          <w:sz w:val="20"/>
                          <w:szCs w:val="20"/>
                        </w:rPr>
                        <w:t xml:space="preserve">s (PIRs), returned 1 April 2021 </w:t>
                      </w:r>
                      <w:r w:rsidRPr="009A0816">
                        <w:rPr>
                          <w:rFonts w:ascii="Arial" w:hAnsi="Arial" w:cs="Arial"/>
                          <w:sz w:val="20"/>
                          <w:szCs w:val="20"/>
                        </w:rPr>
                        <w:t xml:space="preserve">to </w:t>
                      </w:r>
                      <w:r w:rsidRPr="00AD5F40">
                        <w:rPr>
                          <w:rFonts w:ascii="Arial" w:hAnsi="Arial" w:cs="Arial"/>
                          <w:sz w:val="20"/>
                          <w:szCs w:val="20"/>
                        </w:rPr>
                        <w:t xml:space="preserve">31 </w:t>
                      </w:r>
                      <w:r w:rsidR="00044033" w:rsidRPr="00AD5F40">
                        <w:rPr>
                          <w:rFonts w:ascii="Arial" w:hAnsi="Arial" w:cs="Arial"/>
                          <w:sz w:val="20"/>
                          <w:szCs w:val="20"/>
                        </w:rPr>
                        <w:t xml:space="preserve">January </w:t>
                      </w:r>
                      <w:r w:rsidRPr="00AD5F40">
                        <w:rPr>
                          <w:rFonts w:ascii="Arial" w:hAnsi="Arial" w:cs="Arial"/>
                          <w:sz w:val="20"/>
                          <w:szCs w:val="20"/>
                        </w:rPr>
                        <w:t>202</w:t>
                      </w:r>
                      <w:r w:rsidR="00044033" w:rsidRPr="005F66F2">
                        <w:rPr>
                          <w:rFonts w:ascii="Arial" w:hAnsi="Arial" w:cs="Arial"/>
                          <w:sz w:val="20"/>
                          <w:szCs w:val="20"/>
                        </w:rPr>
                        <w:t>2</w:t>
                      </w:r>
                      <w:r w:rsidRPr="005F66F2">
                        <w:rPr>
                          <w:rFonts w:ascii="Arial" w:hAnsi="Arial" w:cs="Arial"/>
                          <w:sz w:val="20"/>
                          <w:szCs w:val="20"/>
                        </w:rPr>
                        <w:t xml:space="preserve">. </w:t>
                      </w:r>
                      <w:r w:rsidRPr="00E96168">
                        <w:rPr>
                          <w:rFonts w:ascii="Arial" w:hAnsi="Arial" w:cs="Arial"/>
                          <w:sz w:val="20"/>
                          <w:szCs w:val="20"/>
                        </w:rPr>
                        <w:br/>
                      </w:r>
                      <w:r w:rsidRPr="005F66F2">
                        <w:rPr>
                          <w:rFonts w:ascii="Arial" w:hAnsi="Arial" w:cs="Arial"/>
                          <w:sz w:val="20"/>
                          <w:szCs w:val="20"/>
                        </w:rPr>
                        <w:t>Occupancy rates = number of people / number of beds</w:t>
                      </w:r>
                      <w:r w:rsidR="00AC4739">
                        <w:rPr>
                          <w:rFonts w:ascii="Arial" w:hAnsi="Arial" w:cs="Arial"/>
                          <w:sz w:val="20"/>
                          <w:szCs w:val="20"/>
                        </w:rPr>
                        <w:t xml:space="preserve"> at the </w:t>
                      </w:r>
                      <w:r w:rsidR="00722ABE">
                        <w:rPr>
                          <w:rFonts w:ascii="Arial" w:hAnsi="Arial" w:cs="Arial"/>
                          <w:sz w:val="20"/>
                          <w:szCs w:val="20"/>
                        </w:rPr>
                        <w:t>time of the return</w:t>
                      </w:r>
                    </w:p>
                    <w:p w14:paraId="3E58A8AD" w14:textId="2FCC08E1" w:rsidR="00B201B5" w:rsidRPr="00966AD2" w:rsidRDefault="00B201B5" w:rsidP="00A26D3B">
                      <w:pPr>
                        <w:rPr>
                          <w:rFonts w:ascii="Arial" w:hAnsi="Arial" w:cs="Arial"/>
                          <w:b/>
                          <w:bCs/>
                          <w:sz w:val="24"/>
                          <w:szCs w:val="24"/>
                        </w:rPr>
                      </w:pPr>
                      <w:r w:rsidRPr="00966AD2">
                        <w:rPr>
                          <w:rFonts w:ascii="Arial" w:hAnsi="Arial" w:cs="Arial"/>
                          <w:sz w:val="20"/>
                          <w:szCs w:val="20"/>
                        </w:rPr>
                        <w:t>Some PIRs were excluded from the analysis due to failing data validation. Data validation is under continuous review</w:t>
                      </w:r>
                      <w:r w:rsidR="009D15DB">
                        <w:rPr>
                          <w:rFonts w:ascii="Arial" w:hAnsi="Arial" w:cs="Arial"/>
                          <w:sz w:val="20"/>
                          <w:szCs w:val="20"/>
                        </w:rPr>
                        <w:t>,</w:t>
                      </w:r>
                      <w:r w:rsidRPr="00966AD2">
                        <w:rPr>
                          <w:rFonts w:ascii="Arial" w:hAnsi="Arial" w:cs="Arial"/>
                          <w:sz w:val="20"/>
                          <w:szCs w:val="20"/>
                        </w:rPr>
                        <w:t xml:space="preserve"> which may result in changes to historical figures when applied retrospectively.</w:t>
                      </w:r>
                    </w:p>
                  </w:txbxContent>
                </v:textbox>
              </v:shape>
            </w:pict>
          </mc:Fallback>
        </mc:AlternateContent>
      </w:r>
    </w:p>
    <w:p w14:paraId="195256D4" w14:textId="77777777" w:rsidR="00312698" w:rsidRDefault="00312698">
      <w:pPr>
        <w:rPr>
          <w:rFonts w:ascii="Arial" w:hAnsi="Arial" w:cs="Arial"/>
          <w:sz w:val="24"/>
        </w:rPr>
      </w:pPr>
      <w:r>
        <w:rPr>
          <w:rFonts w:ascii="Arial" w:hAnsi="Arial" w:cs="Arial"/>
          <w:sz w:val="24"/>
        </w:rPr>
        <w:br w:type="page"/>
      </w:r>
    </w:p>
    <w:p w14:paraId="3ED45BA3" w14:textId="5647E610" w:rsidR="00881880" w:rsidRPr="00881880" w:rsidRDefault="00881880" w:rsidP="009A422F">
      <w:pPr>
        <w:pStyle w:val="Heading2"/>
        <w:numPr>
          <w:ilvl w:val="0"/>
          <w:numId w:val="8"/>
        </w:numPr>
      </w:pPr>
      <w:bookmarkStart w:id="8" w:name="_Toc95382600"/>
      <w:r>
        <w:lastRenderedPageBreak/>
        <w:t>Staffing events that stop a service</w:t>
      </w:r>
      <w:bookmarkEnd w:id="8"/>
    </w:p>
    <w:p w14:paraId="22615D0F" w14:textId="523074A3" w:rsidR="00881880" w:rsidRDefault="00881880" w:rsidP="00881880">
      <w:pPr>
        <w:rPr>
          <w:rFonts w:ascii="Arial" w:hAnsi="Arial" w:cs="Arial"/>
          <w:sz w:val="24"/>
          <w:szCs w:val="24"/>
        </w:rPr>
      </w:pPr>
      <w:r w:rsidRPr="57224B83">
        <w:rPr>
          <w:rFonts w:ascii="Arial" w:hAnsi="Arial" w:cs="Arial"/>
          <w:sz w:val="24"/>
          <w:szCs w:val="24"/>
        </w:rPr>
        <w:t xml:space="preserve">Providers must notify CQC of all incidents that affect the health, safety and welfare of people who use services. </w:t>
      </w:r>
      <w:r w:rsidR="00866C86">
        <w:rPr>
          <w:rFonts w:ascii="Arial" w:hAnsi="Arial" w:cs="Arial"/>
          <w:sz w:val="24"/>
          <w:szCs w:val="24"/>
        </w:rPr>
        <w:t xml:space="preserve">There are around </w:t>
      </w:r>
      <w:r w:rsidR="00866C86" w:rsidRPr="00923DED">
        <w:rPr>
          <w:rFonts w:ascii="Arial" w:hAnsi="Arial" w:cs="Arial"/>
          <w:sz w:val="24"/>
          <w:szCs w:val="24"/>
        </w:rPr>
        <w:t>26,500 community and residential adult social care service</w:t>
      </w:r>
      <w:r w:rsidR="00866C86">
        <w:rPr>
          <w:rFonts w:ascii="Arial" w:hAnsi="Arial" w:cs="Arial"/>
          <w:sz w:val="24"/>
          <w:szCs w:val="24"/>
        </w:rPr>
        <w:t>s</w:t>
      </w:r>
      <w:r w:rsidR="00DF3D65">
        <w:rPr>
          <w:rFonts w:ascii="Arial" w:hAnsi="Arial" w:cs="Arial"/>
          <w:sz w:val="24"/>
          <w:szCs w:val="24"/>
        </w:rPr>
        <w:t xml:space="preserve"> in England.</w:t>
      </w:r>
      <w:r w:rsidR="00866C86" w:rsidRPr="57224B83">
        <w:rPr>
          <w:rFonts w:ascii="Arial" w:hAnsi="Arial" w:cs="Arial"/>
          <w:sz w:val="24"/>
          <w:szCs w:val="24"/>
        </w:rPr>
        <w:t xml:space="preserve"> </w:t>
      </w:r>
      <w:r w:rsidR="0075605D" w:rsidRPr="57224B83">
        <w:rPr>
          <w:rFonts w:ascii="Arial" w:hAnsi="Arial" w:cs="Arial"/>
          <w:sz w:val="24"/>
          <w:szCs w:val="24"/>
        </w:rPr>
        <w:t xml:space="preserve">Figure 4 shows the number </w:t>
      </w:r>
      <w:r w:rsidR="005257C7" w:rsidRPr="57224B83">
        <w:rPr>
          <w:rFonts w:ascii="Arial" w:hAnsi="Arial" w:cs="Arial"/>
          <w:sz w:val="24"/>
          <w:szCs w:val="24"/>
        </w:rPr>
        <w:t xml:space="preserve">each week </w:t>
      </w:r>
      <w:r w:rsidR="0075605D" w:rsidRPr="57224B83">
        <w:rPr>
          <w:rFonts w:ascii="Arial" w:hAnsi="Arial" w:cs="Arial"/>
          <w:sz w:val="24"/>
          <w:szCs w:val="24"/>
        </w:rPr>
        <w:t xml:space="preserve">of notifications </w:t>
      </w:r>
      <w:r w:rsidR="00E50F93">
        <w:rPr>
          <w:rFonts w:ascii="Arial" w:hAnsi="Arial" w:cs="Arial"/>
          <w:sz w:val="24"/>
          <w:szCs w:val="24"/>
        </w:rPr>
        <w:t>from</w:t>
      </w:r>
      <w:r w:rsidR="0075605D" w:rsidRPr="57224B83">
        <w:rPr>
          <w:rFonts w:ascii="Arial" w:hAnsi="Arial" w:cs="Arial"/>
          <w:sz w:val="24"/>
          <w:szCs w:val="24"/>
        </w:rPr>
        <w:t xml:space="preserve"> providers</w:t>
      </w:r>
      <w:r w:rsidR="00A228E2">
        <w:rPr>
          <w:rFonts w:ascii="Arial" w:hAnsi="Arial" w:cs="Arial"/>
          <w:sz w:val="24"/>
          <w:szCs w:val="24"/>
        </w:rPr>
        <w:t xml:space="preserve"> of </w:t>
      </w:r>
      <w:r w:rsidR="004B28A6" w:rsidRPr="004B28A6">
        <w:rPr>
          <w:rFonts w:ascii="Arial" w:hAnsi="Arial" w:cs="Arial"/>
          <w:sz w:val="24"/>
          <w:szCs w:val="24"/>
        </w:rPr>
        <w:t>community and residential adult social care</w:t>
      </w:r>
      <w:r w:rsidR="006C6E79">
        <w:rPr>
          <w:rFonts w:ascii="Arial" w:hAnsi="Arial" w:cs="Arial"/>
          <w:sz w:val="24"/>
          <w:szCs w:val="24"/>
        </w:rPr>
        <w:t xml:space="preserve"> services</w:t>
      </w:r>
      <w:r w:rsidR="004B28A6" w:rsidRPr="004B28A6">
        <w:rPr>
          <w:rFonts w:ascii="Arial" w:hAnsi="Arial" w:cs="Arial"/>
          <w:sz w:val="24"/>
          <w:szCs w:val="24"/>
        </w:rPr>
        <w:t xml:space="preserve"> </w:t>
      </w:r>
      <w:r w:rsidR="00DC0327">
        <w:rPr>
          <w:rFonts w:ascii="Arial" w:hAnsi="Arial" w:cs="Arial"/>
          <w:sz w:val="24"/>
          <w:szCs w:val="24"/>
        </w:rPr>
        <w:t>telling us about</w:t>
      </w:r>
      <w:r w:rsidR="0075605D" w:rsidRPr="57224B83">
        <w:rPr>
          <w:rFonts w:ascii="Arial" w:hAnsi="Arial" w:cs="Arial"/>
          <w:sz w:val="24"/>
          <w:szCs w:val="24"/>
        </w:rPr>
        <w:t xml:space="preserve"> staffing events that stop a service (</w:t>
      </w:r>
      <w:hyperlink r:id="rId18" w:anchor="full-regulation">
        <w:r w:rsidR="0075605D" w:rsidRPr="57224B83">
          <w:rPr>
            <w:rStyle w:val="Hyperlink"/>
            <w:rFonts w:ascii="Arial" w:hAnsi="Arial" w:cs="Arial"/>
            <w:sz w:val="24"/>
            <w:szCs w:val="24"/>
          </w:rPr>
          <w:t>Regulation 18</w:t>
        </w:r>
      </w:hyperlink>
      <w:r w:rsidR="0075605D" w:rsidRPr="57224B83">
        <w:rPr>
          <w:rFonts w:ascii="Arial" w:hAnsi="Arial" w:cs="Arial"/>
          <w:sz w:val="24"/>
          <w:szCs w:val="24"/>
        </w:rPr>
        <w:t xml:space="preserve">). These can include staff shortages due to sickness, self-isolation or recruitment issues. </w:t>
      </w:r>
      <w:r w:rsidR="00C113C1">
        <w:rPr>
          <w:rFonts w:ascii="Arial" w:hAnsi="Arial" w:cs="Arial"/>
          <w:sz w:val="24"/>
          <w:szCs w:val="24"/>
        </w:rPr>
        <w:t>A</w:t>
      </w:r>
      <w:r w:rsidR="0075605D" w:rsidRPr="57224B83">
        <w:rPr>
          <w:rFonts w:ascii="Arial" w:hAnsi="Arial" w:cs="Arial"/>
          <w:sz w:val="24"/>
          <w:szCs w:val="24"/>
        </w:rPr>
        <w:t xml:space="preserve"> sharp</w:t>
      </w:r>
      <w:r w:rsidR="005E488F" w:rsidRPr="57224B83">
        <w:rPr>
          <w:rFonts w:ascii="Arial" w:hAnsi="Arial" w:cs="Arial"/>
          <w:sz w:val="24"/>
          <w:szCs w:val="24"/>
        </w:rPr>
        <w:t xml:space="preserve"> increase</w:t>
      </w:r>
      <w:r w:rsidR="009F5510">
        <w:rPr>
          <w:rFonts w:ascii="Arial" w:hAnsi="Arial" w:cs="Arial"/>
          <w:sz w:val="24"/>
          <w:szCs w:val="24"/>
        </w:rPr>
        <w:t xml:space="preserve"> in notifications were received</w:t>
      </w:r>
      <w:r w:rsidR="005E488F" w:rsidRPr="57224B83">
        <w:rPr>
          <w:rFonts w:ascii="Arial" w:hAnsi="Arial" w:cs="Arial"/>
          <w:sz w:val="24"/>
          <w:szCs w:val="24"/>
        </w:rPr>
        <w:t xml:space="preserve"> in </w:t>
      </w:r>
      <w:r w:rsidR="00324374">
        <w:rPr>
          <w:rFonts w:ascii="Arial" w:hAnsi="Arial" w:cs="Arial"/>
          <w:sz w:val="24"/>
          <w:szCs w:val="24"/>
        </w:rPr>
        <w:t>mid-</w:t>
      </w:r>
      <w:r w:rsidR="005E488F" w:rsidRPr="57224B83">
        <w:rPr>
          <w:rFonts w:ascii="Arial" w:hAnsi="Arial" w:cs="Arial"/>
          <w:sz w:val="24"/>
          <w:szCs w:val="24"/>
        </w:rPr>
        <w:t>December</w:t>
      </w:r>
      <w:r w:rsidR="6AF13CED" w:rsidRPr="6813FBD6">
        <w:rPr>
          <w:rFonts w:ascii="Arial" w:hAnsi="Arial" w:cs="Arial"/>
          <w:sz w:val="24"/>
          <w:szCs w:val="24"/>
        </w:rPr>
        <w:t>,</w:t>
      </w:r>
      <w:r w:rsidR="126380D2" w:rsidRPr="6813FBD6">
        <w:rPr>
          <w:rFonts w:ascii="Arial" w:hAnsi="Arial" w:cs="Arial"/>
          <w:sz w:val="24"/>
          <w:szCs w:val="24"/>
        </w:rPr>
        <w:t xml:space="preserve"> which peaked at 119 notifications</w:t>
      </w:r>
      <w:r w:rsidR="00B51649">
        <w:rPr>
          <w:rFonts w:ascii="Arial" w:hAnsi="Arial" w:cs="Arial"/>
          <w:sz w:val="24"/>
          <w:szCs w:val="24"/>
        </w:rPr>
        <w:t xml:space="preserve"> in the</w:t>
      </w:r>
      <w:r w:rsidR="126380D2" w:rsidRPr="6813FBD6">
        <w:rPr>
          <w:rFonts w:ascii="Arial" w:hAnsi="Arial" w:cs="Arial"/>
          <w:sz w:val="24"/>
          <w:szCs w:val="24"/>
        </w:rPr>
        <w:t xml:space="preserve"> week </w:t>
      </w:r>
      <w:r w:rsidR="00B51649">
        <w:rPr>
          <w:rFonts w:ascii="Arial" w:hAnsi="Arial" w:cs="Arial"/>
          <w:sz w:val="24"/>
          <w:szCs w:val="24"/>
        </w:rPr>
        <w:t>start</w:t>
      </w:r>
      <w:r w:rsidR="00B51649" w:rsidRPr="6813FBD6">
        <w:rPr>
          <w:rFonts w:ascii="Arial" w:hAnsi="Arial" w:cs="Arial"/>
          <w:sz w:val="24"/>
          <w:szCs w:val="24"/>
        </w:rPr>
        <w:t xml:space="preserve">ing </w:t>
      </w:r>
      <w:r w:rsidR="569D048C" w:rsidRPr="6813FBD6">
        <w:rPr>
          <w:rFonts w:ascii="Arial" w:hAnsi="Arial" w:cs="Arial"/>
          <w:sz w:val="24"/>
          <w:szCs w:val="24"/>
        </w:rPr>
        <w:t>3 January</w:t>
      </w:r>
      <w:r w:rsidR="521DF970" w:rsidRPr="6813FBD6">
        <w:rPr>
          <w:rFonts w:ascii="Arial" w:hAnsi="Arial" w:cs="Arial"/>
          <w:sz w:val="24"/>
          <w:szCs w:val="24"/>
        </w:rPr>
        <w:t xml:space="preserve"> 2022</w:t>
      </w:r>
      <w:r w:rsidR="00C4144D">
        <w:rPr>
          <w:rFonts w:ascii="Arial" w:hAnsi="Arial" w:cs="Arial"/>
          <w:sz w:val="24"/>
          <w:szCs w:val="24"/>
        </w:rPr>
        <w:t>. T</w:t>
      </w:r>
      <w:r w:rsidR="7D1C756E" w:rsidRPr="6813FBD6">
        <w:rPr>
          <w:rFonts w:ascii="Arial" w:hAnsi="Arial" w:cs="Arial"/>
          <w:sz w:val="24"/>
          <w:szCs w:val="24"/>
        </w:rPr>
        <w:t>he number appears to have returned to a normal level</w:t>
      </w:r>
      <w:r w:rsidR="533165FB" w:rsidRPr="6813FBD6">
        <w:rPr>
          <w:rFonts w:ascii="Arial" w:hAnsi="Arial" w:cs="Arial"/>
          <w:sz w:val="24"/>
          <w:szCs w:val="24"/>
        </w:rPr>
        <w:t xml:space="preserve"> of 36</w:t>
      </w:r>
      <w:r w:rsidR="62D03617" w:rsidRPr="6813FBD6">
        <w:rPr>
          <w:rFonts w:ascii="Arial" w:hAnsi="Arial" w:cs="Arial"/>
          <w:sz w:val="24"/>
          <w:szCs w:val="24"/>
        </w:rPr>
        <w:t xml:space="preserve"> in the week </w:t>
      </w:r>
      <w:r w:rsidR="00D05AFF">
        <w:rPr>
          <w:rFonts w:ascii="Arial" w:hAnsi="Arial" w:cs="Arial"/>
          <w:sz w:val="24"/>
          <w:szCs w:val="24"/>
        </w:rPr>
        <w:t>start</w:t>
      </w:r>
      <w:r w:rsidR="00D05AFF" w:rsidRPr="6813FBD6">
        <w:rPr>
          <w:rFonts w:ascii="Arial" w:hAnsi="Arial" w:cs="Arial"/>
          <w:sz w:val="24"/>
          <w:szCs w:val="24"/>
        </w:rPr>
        <w:t xml:space="preserve">ing </w:t>
      </w:r>
      <w:r w:rsidR="62D03617" w:rsidRPr="6813FBD6">
        <w:rPr>
          <w:rFonts w:ascii="Arial" w:hAnsi="Arial" w:cs="Arial"/>
          <w:sz w:val="24"/>
          <w:szCs w:val="24"/>
        </w:rPr>
        <w:t>24 January 20</w:t>
      </w:r>
      <w:r w:rsidR="533165FB" w:rsidRPr="6813FBD6">
        <w:rPr>
          <w:rFonts w:ascii="Arial" w:hAnsi="Arial" w:cs="Arial"/>
          <w:sz w:val="24"/>
          <w:szCs w:val="24"/>
        </w:rPr>
        <w:t>22</w:t>
      </w:r>
      <w:r w:rsidR="7D1C756E" w:rsidRPr="6813FBD6">
        <w:rPr>
          <w:rFonts w:ascii="Arial" w:hAnsi="Arial" w:cs="Arial"/>
          <w:sz w:val="24"/>
          <w:szCs w:val="24"/>
        </w:rPr>
        <w:t>.</w:t>
      </w:r>
      <w:r w:rsidR="25A12744" w:rsidRPr="6813FBD6">
        <w:rPr>
          <w:rFonts w:ascii="Arial" w:hAnsi="Arial" w:cs="Arial"/>
          <w:sz w:val="24"/>
          <w:szCs w:val="24"/>
        </w:rPr>
        <w:t xml:space="preserve"> </w:t>
      </w:r>
    </w:p>
    <w:p w14:paraId="4AECE2EE" w14:textId="1A8A510C" w:rsidR="005E488F" w:rsidRPr="00994D34" w:rsidRDefault="005E488F" w:rsidP="00881880">
      <w:pPr>
        <w:rPr>
          <w:rFonts w:ascii="Arial" w:hAnsi="Arial" w:cs="Arial"/>
          <w:b/>
          <w:bCs/>
          <w:sz w:val="24"/>
        </w:rPr>
      </w:pPr>
      <w:r w:rsidRPr="00994D34">
        <w:rPr>
          <w:rFonts w:ascii="Arial" w:hAnsi="Arial" w:cs="Arial"/>
          <w:b/>
          <w:bCs/>
          <w:sz w:val="24"/>
        </w:rPr>
        <w:t xml:space="preserve">Figure 4: </w:t>
      </w:r>
      <w:r w:rsidR="00994D34" w:rsidRPr="00994D34">
        <w:rPr>
          <w:rFonts w:ascii="Arial" w:hAnsi="Arial" w:cs="Arial"/>
          <w:b/>
          <w:bCs/>
          <w:sz w:val="24"/>
        </w:rPr>
        <w:t>Notifications from community and residential adult social care services of staffing events that stop a service</w:t>
      </w:r>
      <w:r w:rsidRPr="00994D34">
        <w:rPr>
          <w:rFonts w:ascii="Arial" w:hAnsi="Arial" w:cs="Arial"/>
          <w:b/>
          <w:bCs/>
          <w:sz w:val="24"/>
        </w:rPr>
        <w:t xml:space="preserve">, </w:t>
      </w:r>
      <w:r w:rsidR="00D96964">
        <w:rPr>
          <w:rFonts w:ascii="Arial" w:hAnsi="Arial" w:cs="Arial"/>
          <w:b/>
          <w:bCs/>
          <w:sz w:val="24"/>
        </w:rPr>
        <w:t xml:space="preserve">19 </w:t>
      </w:r>
      <w:r w:rsidR="00994D34" w:rsidRPr="00994D34">
        <w:rPr>
          <w:rFonts w:ascii="Arial" w:hAnsi="Arial" w:cs="Arial"/>
          <w:b/>
          <w:bCs/>
          <w:sz w:val="24"/>
        </w:rPr>
        <w:t>July</w:t>
      </w:r>
      <w:r w:rsidRPr="00994D34">
        <w:rPr>
          <w:rFonts w:ascii="Arial" w:hAnsi="Arial" w:cs="Arial"/>
          <w:b/>
          <w:bCs/>
          <w:sz w:val="24"/>
        </w:rPr>
        <w:t xml:space="preserve"> 2021 to </w:t>
      </w:r>
      <w:r w:rsidR="00A83F5D">
        <w:rPr>
          <w:rFonts w:ascii="Arial" w:hAnsi="Arial" w:cs="Arial"/>
          <w:b/>
          <w:bCs/>
          <w:sz w:val="24"/>
        </w:rPr>
        <w:t xml:space="preserve">30 </w:t>
      </w:r>
      <w:r w:rsidR="00994D34" w:rsidRPr="00994D34">
        <w:rPr>
          <w:rFonts w:ascii="Arial" w:hAnsi="Arial" w:cs="Arial"/>
          <w:b/>
          <w:bCs/>
          <w:sz w:val="24"/>
        </w:rPr>
        <w:t>January</w:t>
      </w:r>
      <w:r w:rsidRPr="00994D34">
        <w:rPr>
          <w:rFonts w:ascii="Arial" w:hAnsi="Arial" w:cs="Arial"/>
          <w:b/>
          <w:bCs/>
          <w:sz w:val="24"/>
        </w:rPr>
        <w:t xml:space="preserve"> 202</w:t>
      </w:r>
      <w:r w:rsidR="00994D34" w:rsidRPr="00994D34">
        <w:rPr>
          <w:rFonts w:ascii="Arial" w:hAnsi="Arial" w:cs="Arial"/>
          <w:b/>
          <w:bCs/>
          <w:sz w:val="24"/>
        </w:rPr>
        <w:t>2</w:t>
      </w:r>
      <w:r w:rsidRPr="00994D34">
        <w:rPr>
          <w:rFonts w:ascii="Arial" w:hAnsi="Arial" w:cs="Arial"/>
          <w:b/>
          <w:bCs/>
          <w:sz w:val="24"/>
        </w:rPr>
        <w:t>, England</w:t>
      </w:r>
    </w:p>
    <w:p w14:paraId="5CA9776E" w14:textId="7F6BEE1C" w:rsidR="00994D34" w:rsidRPr="00994D34" w:rsidRDefault="009A4E8E" w:rsidP="002D49DD">
      <w:pPr>
        <w:rPr>
          <w:rFonts w:ascii="Arial" w:hAnsi="Arial" w:cs="Arial"/>
          <w:sz w:val="20"/>
          <w:szCs w:val="18"/>
        </w:rPr>
      </w:pPr>
      <w:r>
        <w:rPr>
          <w:rFonts w:ascii="Arial" w:hAnsi="Arial" w:cs="Arial"/>
          <w:noProof/>
        </w:rPr>
        <w:drawing>
          <wp:inline distT="0" distB="0" distL="0" distR="0" wp14:anchorId="7CFEE49B" wp14:editId="5CFDB8CD">
            <wp:extent cx="8658225" cy="18478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8225" cy="1847850"/>
                    </a:xfrm>
                    <a:prstGeom prst="rect">
                      <a:avLst/>
                    </a:prstGeom>
                    <a:noFill/>
                    <a:ln>
                      <a:noFill/>
                    </a:ln>
                  </pic:spPr>
                </pic:pic>
              </a:graphicData>
            </a:graphic>
          </wp:inline>
        </w:drawing>
      </w:r>
      <w:r>
        <w:rPr>
          <w:rFonts w:ascii="Calibri" w:hAnsi="Calibri" w:cs="Calibri"/>
          <w:color w:val="000000"/>
          <w:shd w:val="clear" w:color="auto" w:fill="FFFFFF"/>
        </w:rPr>
        <w:br/>
      </w:r>
      <w:r w:rsidR="00994D34" w:rsidRPr="00994D34">
        <w:rPr>
          <w:rFonts w:ascii="Arial" w:hAnsi="Arial" w:cs="Arial"/>
          <w:sz w:val="20"/>
          <w:szCs w:val="18"/>
        </w:rPr>
        <w:t>Source: Notifications of</w:t>
      </w:r>
      <w:r w:rsidR="00994D34" w:rsidRPr="00994D34">
        <w:rPr>
          <w:sz w:val="18"/>
          <w:szCs w:val="18"/>
        </w:rPr>
        <w:t xml:space="preserve"> </w:t>
      </w:r>
      <w:r w:rsidR="00994D34" w:rsidRPr="00994D34">
        <w:rPr>
          <w:rFonts w:ascii="Arial" w:hAnsi="Arial" w:cs="Arial"/>
          <w:sz w:val="20"/>
          <w:szCs w:val="18"/>
        </w:rPr>
        <w:t>Care Quality Commission (Registration) Regulations 2009: Regulation 18</w:t>
      </w:r>
    </w:p>
    <w:p w14:paraId="3F288C77" w14:textId="6CC29CA6" w:rsidR="00994D34" w:rsidRDefault="00994D34" w:rsidP="00994D34">
      <w:pPr>
        <w:rPr>
          <w:rFonts w:ascii="Arial" w:hAnsi="Arial" w:cs="Arial"/>
          <w:sz w:val="24"/>
        </w:rPr>
      </w:pPr>
    </w:p>
    <w:p w14:paraId="01008C83" w14:textId="77777777" w:rsidR="00C67777" w:rsidRDefault="00C67777" w:rsidP="00994D34">
      <w:pPr>
        <w:rPr>
          <w:rFonts w:ascii="Arial" w:hAnsi="Arial" w:cs="Arial"/>
          <w:sz w:val="24"/>
        </w:rPr>
      </w:pPr>
    </w:p>
    <w:p w14:paraId="7EA5D498" w14:textId="24860912" w:rsidR="00994D34" w:rsidRDefault="00650157" w:rsidP="009A422F">
      <w:pPr>
        <w:pStyle w:val="Heading2"/>
        <w:numPr>
          <w:ilvl w:val="0"/>
          <w:numId w:val="8"/>
        </w:numPr>
      </w:pPr>
      <w:bookmarkStart w:id="9" w:name="_Toc95382601"/>
      <w:r>
        <w:t>Care home</w:t>
      </w:r>
      <w:r w:rsidR="00994D34">
        <w:t xml:space="preserve"> registrations and de-registrations</w:t>
      </w:r>
      <w:bookmarkEnd w:id="9"/>
    </w:p>
    <w:p w14:paraId="3D0D9A99" w14:textId="2A1ABD13" w:rsidR="00994D34" w:rsidRPr="00994D34" w:rsidRDefault="003D3950" w:rsidP="003D3950">
      <w:pPr>
        <w:spacing w:after="0"/>
        <w:rPr>
          <w:rFonts w:ascii="Arial" w:hAnsi="Arial" w:cs="Arial"/>
          <w:sz w:val="24"/>
        </w:rPr>
      </w:pPr>
      <w:r>
        <w:rPr>
          <w:rFonts w:ascii="Arial" w:hAnsi="Arial" w:cs="Arial"/>
          <w:sz w:val="24"/>
        </w:rPr>
        <w:t>An</w:t>
      </w:r>
      <w:r w:rsidR="00994D34" w:rsidRPr="00994D34">
        <w:rPr>
          <w:rFonts w:ascii="Arial" w:hAnsi="Arial" w:cs="Arial"/>
          <w:sz w:val="24"/>
        </w:rPr>
        <w:t xml:space="preserve"> analysis of </w:t>
      </w:r>
      <w:r>
        <w:rPr>
          <w:rFonts w:ascii="Arial" w:hAnsi="Arial" w:cs="Arial"/>
          <w:sz w:val="24"/>
        </w:rPr>
        <w:t xml:space="preserve">adult social care </w:t>
      </w:r>
      <w:r w:rsidR="00994D34" w:rsidRPr="00994D34">
        <w:rPr>
          <w:rFonts w:ascii="Arial" w:hAnsi="Arial" w:cs="Arial"/>
          <w:sz w:val="24"/>
        </w:rPr>
        <w:t>locations</w:t>
      </w:r>
      <w:r w:rsidR="00A47CA8">
        <w:rPr>
          <w:rFonts w:ascii="Arial" w:hAnsi="Arial" w:cs="Arial"/>
          <w:sz w:val="24"/>
        </w:rPr>
        <w:t xml:space="preserve"> that provide</w:t>
      </w:r>
      <w:r w:rsidR="00C24A1F" w:rsidRPr="00C24A1F">
        <w:t xml:space="preserve"> </w:t>
      </w:r>
      <w:r w:rsidR="00650157">
        <w:rPr>
          <w:rFonts w:ascii="Arial" w:hAnsi="Arial" w:cs="Arial"/>
          <w:sz w:val="24"/>
        </w:rPr>
        <w:t>residential</w:t>
      </w:r>
      <w:r w:rsidR="00C24A1F" w:rsidRPr="00C24A1F">
        <w:rPr>
          <w:rFonts w:ascii="Arial" w:hAnsi="Arial" w:cs="Arial"/>
          <w:sz w:val="24"/>
        </w:rPr>
        <w:t xml:space="preserve"> nursing or personal care</w:t>
      </w:r>
      <w:r>
        <w:rPr>
          <w:rFonts w:ascii="Arial" w:hAnsi="Arial" w:cs="Arial"/>
          <w:sz w:val="24"/>
        </w:rPr>
        <w:t xml:space="preserve"> in England</w:t>
      </w:r>
      <w:r w:rsidR="00994D34" w:rsidRPr="00994D34">
        <w:rPr>
          <w:rFonts w:ascii="Arial" w:hAnsi="Arial" w:cs="Arial"/>
          <w:sz w:val="24"/>
        </w:rPr>
        <w:t xml:space="preserve"> </w:t>
      </w:r>
      <w:r>
        <w:rPr>
          <w:rFonts w:ascii="Arial" w:hAnsi="Arial" w:cs="Arial"/>
          <w:sz w:val="24"/>
        </w:rPr>
        <w:t>that</w:t>
      </w:r>
      <w:r w:rsidR="00994D34" w:rsidRPr="00994D34">
        <w:rPr>
          <w:rFonts w:ascii="Arial" w:hAnsi="Arial" w:cs="Arial"/>
          <w:sz w:val="24"/>
        </w:rPr>
        <w:t xml:space="preserve"> were either de-registered or newly registered </w:t>
      </w:r>
      <w:r>
        <w:rPr>
          <w:rFonts w:ascii="Arial" w:hAnsi="Arial" w:cs="Arial"/>
          <w:sz w:val="24"/>
        </w:rPr>
        <w:t>in the six months between</w:t>
      </w:r>
      <w:r w:rsidR="00994D34" w:rsidRPr="00994D34">
        <w:rPr>
          <w:rFonts w:ascii="Arial" w:hAnsi="Arial" w:cs="Arial"/>
          <w:sz w:val="24"/>
        </w:rPr>
        <w:t xml:space="preserve"> </w:t>
      </w:r>
      <w:r w:rsidR="001F188E">
        <w:rPr>
          <w:rFonts w:ascii="Arial" w:hAnsi="Arial" w:cs="Arial"/>
          <w:sz w:val="24"/>
        </w:rPr>
        <w:t xml:space="preserve">August 2021 </w:t>
      </w:r>
      <w:r>
        <w:rPr>
          <w:rFonts w:ascii="Arial" w:hAnsi="Arial" w:cs="Arial"/>
          <w:sz w:val="24"/>
        </w:rPr>
        <w:t xml:space="preserve">and </w:t>
      </w:r>
      <w:r w:rsidR="001F188E">
        <w:rPr>
          <w:rFonts w:ascii="Arial" w:hAnsi="Arial" w:cs="Arial"/>
          <w:sz w:val="24"/>
          <w:szCs w:val="24"/>
        </w:rPr>
        <w:t>January</w:t>
      </w:r>
      <w:r w:rsidR="001F188E" w:rsidRPr="00C866F6">
        <w:rPr>
          <w:rFonts w:ascii="Arial" w:hAnsi="Arial" w:cs="Arial"/>
          <w:sz w:val="24"/>
          <w:szCs w:val="24"/>
        </w:rPr>
        <w:t xml:space="preserve"> </w:t>
      </w:r>
      <w:r w:rsidR="00994D34" w:rsidRPr="00C866F6">
        <w:rPr>
          <w:rFonts w:ascii="Arial" w:hAnsi="Arial" w:cs="Arial"/>
          <w:sz w:val="24"/>
          <w:szCs w:val="24"/>
        </w:rPr>
        <w:t>202</w:t>
      </w:r>
      <w:r w:rsidR="001F188E">
        <w:rPr>
          <w:rFonts w:ascii="Arial" w:hAnsi="Arial" w:cs="Arial"/>
          <w:sz w:val="24"/>
          <w:szCs w:val="24"/>
        </w:rPr>
        <w:t>2</w:t>
      </w:r>
      <w:r w:rsidR="002C26EB" w:rsidRPr="00C866F6">
        <w:rPr>
          <w:rFonts w:ascii="Arial" w:hAnsi="Arial" w:cs="Arial"/>
          <w:sz w:val="24"/>
          <w:szCs w:val="24"/>
          <w:shd w:val="clear" w:color="auto" w:fill="FFFFFF"/>
        </w:rPr>
        <w:t xml:space="preserve"> </w:t>
      </w:r>
      <w:r>
        <w:rPr>
          <w:rFonts w:ascii="Arial" w:hAnsi="Arial" w:cs="Arial"/>
          <w:sz w:val="24"/>
        </w:rPr>
        <w:t>show</w:t>
      </w:r>
      <w:r w:rsidR="00F736EA">
        <w:rPr>
          <w:rFonts w:ascii="Arial" w:hAnsi="Arial" w:cs="Arial"/>
          <w:sz w:val="24"/>
        </w:rPr>
        <w:t>s</w:t>
      </w:r>
      <w:r>
        <w:rPr>
          <w:rFonts w:ascii="Arial" w:hAnsi="Arial" w:cs="Arial"/>
          <w:sz w:val="24"/>
        </w:rPr>
        <w:t xml:space="preserve"> that:</w:t>
      </w:r>
    </w:p>
    <w:p w14:paraId="3110FC82" w14:textId="766BBDFF" w:rsidR="00994D34" w:rsidRPr="003D3950" w:rsidRDefault="007E7825" w:rsidP="003D3950">
      <w:pPr>
        <w:pStyle w:val="ListParagraph"/>
        <w:numPr>
          <w:ilvl w:val="0"/>
          <w:numId w:val="5"/>
        </w:numPr>
        <w:ind w:left="360"/>
        <w:rPr>
          <w:rFonts w:ascii="Arial" w:hAnsi="Arial" w:cs="Arial"/>
          <w:sz w:val="24"/>
        </w:rPr>
      </w:pPr>
      <w:r>
        <w:rPr>
          <w:rFonts w:ascii="Arial" w:hAnsi="Arial" w:cs="Arial"/>
          <w:sz w:val="24"/>
        </w:rPr>
        <w:t>474</w:t>
      </w:r>
      <w:r w:rsidRPr="003D3950">
        <w:rPr>
          <w:rFonts w:ascii="Arial" w:hAnsi="Arial" w:cs="Arial"/>
          <w:sz w:val="24"/>
        </w:rPr>
        <w:t xml:space="preserve"> </w:t>
      </w:r>
      <w:r w:rsidR="00994D34" w:rsidRPr="003D3950">
        <w:rPr>
          <w:rFonts w:ascii="Arial" w:hAnsi="Arial" w:cs="Arial"/>
          <w:sz w:val="24"/>
        </w:rPr>
        <w:t>locations de-registered, 3</w:t>
      </w:r>
      <w:r>
        <w:rPr>
          <w:rFonts w:ascii="Arial" w:hAnsi="Arial" w:cs="Arial"/>
          <w:sz w:val="24"/>
        </w:rPr>
        <w:t>40</w:t>
      </w:r>
      <w:r w:rsidR="00994D34" w:rsidRPr="003D3950">
        <w:rPr>
          <w:rFonts w:ascii="Arial" w:hAnsi="Arial" w:cs="Arial"/>
          <w:sz w:val="24"/>
        </w:rPr>
        <w:t xml:space="preserve"> registered</w:t>
      </w:r>
      <w:r w:rsidR="003D3950">
        <w:rPr>
          <w:rFonts w:ascii="Arial" w:hAnsi="Arial" w:cs="Arial"/>
          <w:sz w:val="24"/>
        </w:rPr>
        <w:t>;</w:t>
      </w:r>
      <w:r w:rsidR="00994D34" w:rsidRPr="003D3950">
        <w:rPr>
          <w:rFonts w:ascii="Arial" w:hAnsi="Arial" w:cs="Arial"/>
          <w:sz w:val="24"/>
        </w:rPr>
        <w:t xml:space="preserve"> a net loss of 13</w:t>
      </w:r>
      <w:r w:rsidR="00F940A8">
        <w:rPr>
          <w:rFonts w:ascii="Arial" w:hAnsi="Arial" w:cs="Arial"/>
          <w:sz w:val="24"/>
        </w:rPr>
        <w:t>4</w:t>
      </w:r>
      <w:r w:rsidR="00994D34" w:rsidRPr="003D3950">
        <w:rPr>
          <w:rFonts w:ascii="Arial" w:hAnsi="Arial" w:cs="Arial"/>
          <w:sz w:val="24"/>
        </w:rPr>
        <w:t xml:space="preserve"> locations</w:t>
      </w:r>
    </w:p>
    <w:p w14:paraId="537E2C80" w14:textId="2024A132" w:rsidR="00994D34" w:rsidRPr="003D3950" w:rsidRDefault="003D3950" w:rsidP="003D3950">
      <w:pPr>
        <w:pStyle w:val="ListParagraph"/>
        <w:numPr>
          <w:ilvl w:val="0"/>
          <w:numId w:val="5"/>
        </w:numPr>
        <w:ind w:left="360"/>
        <w:rPr>
          <w:rFonts w:ascii="Arial" w:hAnsi="Arial" w:cs="Arial"/>
          <w:sz w:val="24"/>
        </w:rPr>
      </w:pPr>
      <w:r>
        <w:rPr>
          <w:rFonts w:ascii="Arial" w:hAnsi="Arial" w:cs="Arial"/>
          <w:sz w:val="24"/>
        </w:rPr>
        <w:lastRenderedPageBreak/>
        <w:t>t</w:t>
      </w:r>
      <w:r w:rsidR="00994D34" w:rsidRPr="003D3950">
        <w:rPr>
          <w:rFonts w:ascii="Arial" w:hAnsi="Arial" w:cs="Arial"/>
          <w:sz w:val="24"/>
        </w:rPr>
        <w:t>he average size of de-registered location</w:t>
      </w:r>
      <w:r w:rsidR="00DF471D">
        <w:rPr>
          <w:rFonts w:ascii="Arial" w:hAnsi="Arial" w:cs="Arial"/>
          <w:sz w:val="24"/>
        </w:rPr>
        <w:t>s</w:t>
      </w:r>
      <w:r w:rsidR="00994D34" w:rsidRPr="003D3950">
        <w:rPr>
          <w:rFonts w:ascii="Arial" w:hAnsi="Arial" w:cs="Arial"/>
          <w:sz w:val="24"/>
        </w:rPr>
        <w:t xml:space="preserve"> was 3</w:t>
      </w:r>
      <w:r w:rsidR="00F940A8">
        <w:rPr>
          <w:rFonts w:ascii="Arial" w:hAnsi="Arial" w:cs="Arial"/>
          <w:sz w:val="24"/>
        </w:rPr>
        <w:t>4.8</w:t>
      </w:r>
      <w:r w:rsidR="00994D34" w:rsidRPr="003D3950">
        <w:rPr>
          <w:rFonts w:ascii="Arial" w:hAnsi="Arial" w:cs="Arial"/>
          <w:sz w:val="24"/>
        </w:rPr>
        <w:t xml:space="preserve"> beds, and the average size of new registrations was 43.</w:t>
      </w:r>
      <w:r w:rsidR="00EC1581">
        <w:rPr>
          <w:rFonts w:ascii="Arial" w:hAnsi="Arial" w:cs="Arial"/>
          <w:sz w:val="24"/>
        </w:rPr>
        <w:t>8</w:t>
      </w:r>
      <w:r w:rsidR="00994D34" w:rsidRPr="003D3950">
        <w:rPr>
          <w:rFonts w:ascii="Arial" w:hAnsi="Arial" w:cs="Arial"/>
          <w:sz w:val="24"/>
        </w:rPr>
        <w:t xml:space="preserve"> beds</w:t>
      </w:r>
    </w:p>
    <w:p w14:paraId="2A7E06BD" w14:textId="32492569" w:rsidR="00994D34" w:rsidRPr="003D3950" w:rsidRDefault="00994D34" w:rsidP="003D3950">
      <w:pPr>
        <w:pStyle w:val="ListParagraph"/>
        <w:numPr>
          <w:ilvl w:val="0"/>
          <w:numId w:val="5"/>
        </w:numPr>
        <w:ind w:left="360"/>
        <w:rPr>
          <w:rFonts w:ascii="Arial" w:hAnsi="Arial" w:cs="Arial"/>
          <w:sz w:val="24"/>
        </w:rPr>
      </w:pPr>
      <w:r w:rsidRPr="003D3950">
        <w:rPr>
          <w:rFonts w:ascii="Arial" w:hAnsi="Arial" w:cs="Arial"/>
          <w:sz w:val="24"/>
        </w:rPr>
        <w:t>16,</w:t>
      </w:r>
      <w:r w:rsidR="00E42A5E">
        <w:rPr>
          <w:rFonts w:ascii="Arial" w:hAnsi="Arial" w:cs="Arial"/>
          <w:sz w:val="24"/>
        </w:rPr>
        <w:t>499</w:t>
      </w:r>
      <w:r w:rsidR="00E42A5E" w:rsidRPr="003D3950">
        <w:rPr>
          <w:rFonts w:ascii="Arial" w:hAnsi="Arial" w:cs="Arial"/>
          <w:sz w:val="24"/>
        </w:rPr>
        <w:t xml:space="preserve"> </w:t>
      </w:r>
      <w:r w:rsidRPr="003D3950">
        <w:rPr>
          <w:rFonts w:ascii="Arial" w:hAnsi="Arial" w:cs="Arial"/>
          <w:sz w:val="24"/>
        </w:rPr>
        <w:t>beds were de-registered, 1</w:t>
      </w:r>
      <w:r w:rsidR="008E3C24">
        <w:rPr>
          <w:rFonts w:ascii="Arial" w:hAnsi="Arial" w:cs="Arial"/>
          <w:sz w:val="24"/>
        </w:rPr>
        <w:t>4</w:t>
      </w:r>
      <w:r w:rsidRPr="003D3950">
        <w:rPr>
          <w:rFonts w:ascii="Arial" w:hAnsi="Arial" w:cs="Arial"/>
          <w:sz w:val="24"/>
        </w:rPr>
        <w:t>,</w:t>
      </w:r>
      <w:r w:rsidR="008E3C24">
        <w:rPr>
          <w:rFonts w:ascii="Arial" w:hAnsi="Arial" w:cs="Arial"/>
          <w:sz w:val="24"/>
        </w:rPr>
        <w:t xml:space="preserve">882 </w:t>
      </w:r>
      <w:r w:rsidRPr="003D3950">
        <w:rPr>
          <w:rFonts w:ascii="Arial" w:hAnsi="Arial" w:cs="Arial"/>
          <w:sz w:val="24"/>
        </w:rPr>
        <w:t>beds were registered</w:t>
      </w:r>
      <w:r w:rsidR="003D3950">
        <w:rPr>
          <w:rFonts w:ascii="Arial" w:hAnsi="Arial" w:cs="Arial"/>
          <w:sz w:val="24"/>
        </w:rPr>
        <w:t>;</w:t>
      </w:r>
      <w:r w:rsidRPr="003D3950">
        <w:rPr>
          <w:rFonts w:ascii="Arial" w:hAnsi="Arial" w:cs="Arial"/>
          <w:sz w:val="24"/>
        </w:rPr>
        <w:t xml:space="preserve"> a net loss of </w:t>
      </w:r>
      <w:r w:rsidR="003C6A0A">
        <w:rPr>
          <w:rFonts w:ascii="Arial" w:hAnsi="Arial" w:cs="Arial"/>
          <w:sz w:val="24"/>
        </w:rPr>
        <w:t>1,617</w:t>
      </w:r>
      <w:r w:rsidRPr="003D3950">
        <w:rPr>
          <w:rFonts w:ascii="Arial" w:hAnsi="Arial" w:cs="Arial"/>
          <w:sz w:val="24"/>
        </w:rPr>
        <w:t xml:space="preserve"> beds.</w:t>
      </w:r>
    </w:p>
    <w:p w14:paraId="376FC689" w14:textId="10166D0C" w:rsidR="00994D34" w:rsidRDefault="003D3950" w:rsidP="003D3950">
      <w:pPr>
        <w:spacing w:after="0"/>
        <w:rPr>
          <w:rFonts w:ascii="Arial" w:hAnsi="Arial" w:cs="Arial"/>
          <w:sz w:val="24"/>
        </w:rPr>
      </w:pPr>
      <w:r>
        <w:rPr>
          <w:rFonts w:ascii="Arial" w:hAnsi="Arial" w:cs="Arial"/>
          <w:sz w:val="24"/>
        </w:rPr>
        <w:t>Analysis by r</w:t>
      </w:r>
      <w:r w:rsidR="00994D34" w:rsidRPr="00994D34">
        <w:rPr>
          <w:rFonts w:ascii="Arial" w:hAnsi="Arial" w:cs="Arial"/>
          <w:sz w:val="24"/>
        </w:rPr>
        <w:t>egion</w:t>
      </w:r>
      <w:r>
        <w:rPr>
          <w:rFonts w:ascii="Arial" w:hAnsi="Arial" w:cs="Arial"/>
          <w:sz w:val="24"/>
        </w:rPr>
        <w:t xml:space="preserve"> shows that:</w:t>
      </w:r>
    </w:p>
    <w:p w14:paraId="2D7329B0" w14:textId="46E260B4" w:rsidR="00994D34" w:rsidRPr="003D3950" w:rsidRDefault="003D3950" w:rsidP="003D3950">
      <w:pPr>
        <w:pStyle w:val="ListParagraph"/>
        <w:numPr>
          <w:ilvl w:val="0"/>
          <w:numId w:val="6"/>
        </w:numPr>
        <w:rPr>
          <w:rFonts w:ascii="Arial" w:hAnsi="Arial" w:cs="Arial"/>
          <w:sz w:val="24"/>
        </w:rPr>
      </w:pPr>
      <w:r>
        <w:rPr>
          <w:rFonts w:ascii="Arial" w:hAnsi="Arial" w:cs="Arial"/>
          <w:sz w:val="24"/>
        </w:rPr>
        <w:t>a</w:t>
      </w:r>
      <w:r w:rsidR="00994D34" w:rsidRPr="003D3950">
        <w:rPr>
          <w:rFonts w:ascii="Arial" w:hAnsi="Arial" w:cs="Arial"/>
          <w:sz w:val="24"/>
        </w:rPr>
        <w:t>ll regions experienced a net loss in the number of locations registered, and the region with the highest net loss was the South East with 3</w:t>
      </w:r>
      <w:r w:rsidR="003C6A0A">
        <w:rPr>
          <w:rFonts w:ascii="Arial" w:hAnsi="Arial" w:cs="Arial"/>
          <w:sz w:val="24"/>
        </w:rPr>
        <w:t>2</w:t>
      </w:r>
      <w:r w:rsidR="00994D34" w:rsidRPr="003D3950">
        <w:rPr>
          <w:rFonts w:ascii="Arial" w:hAnsi="Arial" w:cs="Arial"/>
          <w:sz w:val="24"/>
        </w:rPr>
        <w:t xml:space="preserve"> fewer locations, while </w:t>
      </w:r>
      <w:r w:rsidR="000F7339">
        <w:rPr>
          <w:rFonts w:ascii="Arial" w:hAnsi="Arial" w:cs="Arial"/>
          <w:sz w:val="24"/>
        </w:rPr>
        <w:t>London</w:t>
      </w:r>
      <w:r w:rsidR="000F7339" w:rsidRPr="003D3950">
        <w:rPr>
          <w:rFonts w:ascii="Arial" w:hAnsi="Arial" w:cs="Arial"/>
          <w:sz w:val="24"/>
        </w:rPr>
        <w:t xml:space="preserve"> </w:t>
      </w:r>
      <w:r w:rsidR="00994D34" w:rsidRPr="003D3950">
        <w:rPr>
          <w:rFonts w:ascii="Arial" w:hAnsi="Arial" w:cs="Arial"/>
          <w:sz w:val="24"/>
        </w:rPr>
        <w:t>had the lowest with a net loss of 10 locations</w:t>
      </w:r>
    </w:p>
    <w:p w14:paraId="11D0A0AC" w14:textId="71E823B1" w:rsidR="00994D34" w:rsidRPr="003D3950" w:rsidRDefault="009D65F5" w:rsidP="003D3950">
      <w:pPr>
        <w:pStyle w:val="ListParagraph"/>
        <w:numPr>
          <w:ilvl w:val="0"/>
          <w:numId w:val="6"/>
        </w:numPr>
        <w:rPr>
          <w:rFonts w:ascii="Arial" w:hAnsi="Arial" w:cs="Arial"/>
          <w:sz w:val="24"/>
        </w:rPr>
      </w:pPr>
      <w:r>
        <w:rPr>
          <w:rFonts w:ascii="Arial" w:hAnsi="Arial" w:cs="Arial"/>
          <w:sz w:val="24"/>
        </w:rPr>
        <w:t>all</w:t>
      </w:r>
      <w:r w:rsidR="00994D34" w:rsidRPr="003D3950">
        <w:rPr>
          <w:rFonts w:ascii="Arial" w:hAnsi="Arial" w:cs="Arial"/>
          <w:sz w:val="24"/>
        </w:rPr>
        <w:t xml:space="preserve"> regions experienced a net </w:t>
      </w:r>
      <w:r>
        <w:rPr>
          <w:rFonts w:ascii="Arial" w:hAnsi="Arial" w:cs="Arial"/>
          <w:sz w:val="24"/>
        </w:rPr>
        <w:t>loss</w:t>
      </w:r>
      <w:r w:rsidRPr="003D3950">
        <w:rPr>
          <w:rFonts w:ascii="Arial" w:hAnsi="Arial" w:cs="Arial"/>
          <w:sz w:val="24"/>
        </w:rPr>
        <w:t xml:space="preserve"> </w:t>
      </w:r>
      <w:r w:rsidR="00994D34" w:rsidRPr="003D3950">
        <w:rPr>
          <w:rFonts w:ascii="Arial" w:hAnsi="Arial" w:cs="Arial"/>
          <w:sz w:val="24"/>
        </w:rPr>
        <w:t>in the number of beds registered in this time period</w:t>
      </w:r>
      <w:r w:rsidR="000066B8">
        <w:rPr>
          <w:rFonts w:ascii="Arial" w:hAnsi="Arial" w:cs="Arial"/>
          <w:sz w:val="24"/>
        </w:rPr>
        <w:t>;</w:t>
      </w:r>
      <w:r w:rsidR="00994D34" w:rsidRPr="003D3950">
        <w:rPr>
          <w:rFonts w:ascii="Arial" w:hAnsi="Arial" w:cs="Arial"/>
          <w:sz w:val="24"/>
        </w:rPr>
        <w:t xml:space="preserve"> the </w:t>
      </w:r>
      <w:r w:rsidR="0025587B">
        <w:rPr>
          <w:rFonts w:ascii="Arial" w:hAnsi="Arial" w:cs="Arial"/>
          <w:sz w:val="24"/>
        </w:rPr>
        <w:t>East of England</w:t>
      </w:r>
      <w:r w:rsidR="0025587B" w:rsidRPr="003D3950">
        <w:rPr>
          <w:rFonts w:ascii="Arial" w:hAnsi="Arial" w:cs="Arial"/>
          <w:sz w:val="24"/>
        </w:rPr>
        <w:t xml:space="preserve"> </w:t>
      </w:r>
      <w:r w:rsidR="00994D34" w:rsidRPr="003D3950">
        <w:rPr>
          <w:rFonts w:ascii="Arial" w:hAnsi="Arial" w:cs="Arial"/>
          <w:sz w:val="24"/>
        </w:rPr>
        <w:t xml:space="preserve">had the highest </w:t>
      </w:r>
      <w:r w:rsidR="0025587B">
        <w:rPr>
          <w:rFonts w:ascii="Arial" w:hAnsi="Arial" w:cs="Arial"/>
          <w:sz w:val="24"/>
        </w:rPr>
        <w:t>net loss</w:t>
      </w:r>
      <w:r w:rsidR="00994D34" w:rsidRPr="003D3950">
        <w:rPr>
          <w:rFonts w:ascii="Arial" w:hAnsi="Arial" w:cs="Arial"/>
          <w:sz w:val="24"/>
        </w:rPr>
        <w:t xml:space="preserve"> of </w:t>
      </w:r>
      <w:r w:rsidR="00DF2E95">
        <w:rPr>
          <w:rFonts w:ascii="Arial" w:hAnsi="Arial" w:cs="Arial"/>
          <w:sz w:val="24"/>
        </w:rPr>
        <w:t>680</w:t>
      </w:r>
      <w:r w:rsidR="00994D34" w:rsidRPr="003D3950">
        <w:rPr>
          <w:rFonts w:ascii="Arial" w:hAnsi="Arial" w:cs="Arial"/>
          <w:sz w:val="24"/>
        </w:rPr>
        <w:t xml:space="preserve"> beds, whil</w:t>
      </w:r>
      <w:r w:rsidR="000066B8">
        <w:rPr>
          <w:rFonts w:ascii="Arial" w:hAnsi="Arial" w:cs="Arial"/>
          <w:sz w:val="24"/>
        </w:rPr>
        <w:t>e</w:t>
      </w:r>
      <w:r w:rsidR="00994D34" w:rsidRPr="003D3950">
        <w:rPr>
          <w:rFonts w:ascii="Arial" w:hAnsi="Arial" w:cs="Arial"/>
          <w:sz w:val="24"/>
        </w:rPr>
        <w:t xml:space="preserve"> </w:t>
      </w:r>
      <w:r w:rsidR="002F42CF">
        <w:rPr>
          <w:rFonts w:ascii="Arial" w:hAnsi="Arial" w:cs="Arial"/>
          <w:sz w:val="24"/>
        </w:rPr>
        <w:t>London</w:t>
      </w:r>
      <w:r w:rsidR="00994D34" w:rsidRPr="003D3950">
        <w:rPr>
          <w:rFonts w:ascii="Arial" w:hAnsi="Arial" w:cs="Arial"/>
          <w:sz w:val="24"/>
        </w:rPr>
        <w:t xml:space="preserve"> </w:t>
      </w:r>
      <w:r w:rsidR="00C4272D">
        <w:rPr>
          <w:rFonts w:ascii="Arial" w:hAnsi="Arial" w:cs="Arial"/>
          <w:sz w:val="24"/>
        </w:rPr>
        <w:t>lost</w:t>
      </w:r>
      <w:r w:rsidR="00994D34" w:rsidRPr="003D3950">
        <w:rPr>
          <w:rFonts w:ascii="Arial" w:hAnsi="Arial" w:cs="Arial"/>
          <w:sz w:val="24"/>
        </w:rPr>
        <w:t xml:space="preserve"> only </w:t>
      </w:r>
      <w:r w:rsidR="00C81606">
        <w:rPr>
          <w:rFonts w:ascii="Arial" w:hAnsi="Arial" w:cs="Arial"/>
          <w:sz w:val="24"/>
        </w:rPr>
        <w:t>8</w:t>
      </w:r>
    </w:p>
    <w:p w14:paraId="388D804D" w14:textId="20494E0C" w:rsidR="00FF49E4" w:rsidRDefault="00994D34" w:rsidP="00994D34">
      <w:pPr>
        <w:pStyle w:val="ListParagraph"/>
        <w:numPr>
          <w:ilvl w:val="0"/>
          <w:numId w:val="6"/>
        </w:numPr>
        <w:rPr>
          <w:rFonts w:ascii="Arial" w:hAnsi="Arial" w:cs="Arial"/>
          <w:sz w:val="24"/>
        </w:rPr>
      </w:pPr>
      <w:r w:rsidRPr="003D3950">
        <w:rPr>
          <w:rFonts w:ascii="Arial" w:hAnsi="Arial" w:cs="Arial"/>
          <w:sz w:val="24"/>
        </w:rPr>
        <w:t>London experienced the largest increase in the average size of location registering</w:t>
      </w:r>
      <w:r w:rsidR="00FF49E4">
        <w:rPr>
          <w:rFonts w:ascii="Arial" w:hAnsi="Arial" w:cs="Arial"/>
          <w:sz w:val="24"/>
        </w:rPr>
        <w:t>,</w:t>
      </w:r>
      <w:r w:rsidRPr="003D3950">
        <w:rPr>
          <w:rFonts w:ascii="Arial" w:hAnsi="Arial" w:cs="Arial"/>
          <w:sz w:val="24"/>
        </w:rPr>
        <w:t xml:space="preserve"> going from 3</w:t>
      </w:r>
      <w:r w:rsidR="00A60DAC">
        <w:rPr>
          <w:rFonts w:ascii="Arial" w:hAnsi="Arial" w:cs="Arial"/>
          <w:sz w:val="24"/>
        </w:rPr>
        <w:t>6.</w:t>
      </w:r>
      <w:r w:rsidRPr="003D3950">
        <w:rPr>
          <w:rFonts w:ascii="Arial" w:hAnsi="Arial" w:cs="Arial"/>
          <w:sz w:val="24"/>
        </w:rPr>
        <w:t xml:space="preserve">3 beds to </w:t>
      </w:r>
      <w:r w:rsidR="00A60DAC">
        <w:rPr>
          <w:rFonts w:ascii="Arial" w:hAnsi="Arial" w:cs="Arial"/>
          <w:sz w:val="24"/>
        </w:rPr>
        <w:t>55</w:t>
      </w:r>
      <w:r w:rsidRPr="003D3950">
        <w:rPr>
          <w:rFonts w:ascii="Arial" w:hAnsi="Arial" w:cs="Arial"/>
          <w:sz w:val="24"/>
        </w:rPr>
        <w:t xml:space="preserve"> beds</w:t>
      </w:r>
      <w:r w:rsidR="0025034B">
        <w:rPr>
          <w:rFonts w:ascii="Arial" w:hAnsi="Arial" w:cs="Arial"/>
          <w:sz w:val="24"/>
        </w:rPr>
        <w:t>;</w:t>
      </w:r>
      <w:r w:rsidR="00A60DAC">
        <w:rPr>
          <w:rFonts w:ascii="Arial" w:hAnsi="Arial" w:cs="Arial"/>
          <w:sz w:val="24"/>
        </w:rPr>
        <w:t xml:space="preserve"> the East of England had lowest increase in average size of location going from </w:t>
      </w:r>
      <w:r w:rsidR="00885245">
        <w:rPr>
          <w:rFonts w:ascii="Arial" w:hAnsi="Arial" w:cs="Arial"/>
          <w:sz w:val="24"/>
        </w:rPr>
        <w:t>36.3 to 36.7 beds.</w:t>
      </w:r>
    </w:p>
    <w:p w14:paraId="07B1ED07" w14:textId="3567C7F1" w:rsidR="00780728" w:rsidRDefault="002877C0">
      <w:pPr>
        <w:rPr>
          <w:rFonts w:ascii="Arial" w:hAnsi="Arial" w:cs="Arial"/>
          <w:b/>
          <w:bCs/>
          <w:sz w:val="24"/>
        </w:rPr>
      </w:pPr>
      <w:r w:rsidRPr="00994D34">
        <w:rPr>
          <w:rFonts w:ascii="Arial" w:hAnsi="Arial" w:cs="Arial"/>
          <w:sz w:val="20"/>
          <w:szCs w:val="18"/>
        </w:rPr>
        <w:t xml:space="preserve">Source: </w:t>
      </w:r>
      <w:hyperlink r:id="rId20" w:history="1">
        <w:r w:rsidR="00210B07" w:rsidRPr="00086D86">
          <w:rPr>
            <w:rStyle w:val="Hyperlink"/>
            <w:rFonts w:ascii="Arial" w:hAnsi="Arial" w:cs="Arial"/>
            <w:sz w:val="20"/>
            <w:szCs w:val="18"/>
          </w:rPr>
          <w:t>HSC</w:t>
        </w:r>
        <w:r w:rsidR="00B81546" w:rsidRPr="00086D86">
          <w:rPr>
            <w:rStyle w:val="Hyperlink"/>
            <w:rFonts w:ascii="Arial" w:hAnsi="Arial" w:cs="Arial"/>
            <w:sz w:val="20"/>
            <w:szCs w:val="18"/>
          </w:rPr>
          <w:t>A register</w:t>
        </w:r>
      </w:hyperlink>
      <w:r w:rsidR="00B81546">
        <w:rPr>
          <w:rFonts w:ascii="Arial" w:hAnsi="Arial" w:cs="Arial"/>
          <w:sz w:val="20"/>
          <w:szCs w:val="18"/>
        </w:rPr>
        <w:t xml:space="preserve"> </w:t>
      </w:r>
    </w:p>
    <w:p w14:paraId="3832E475" w14:textId="77777777" w:rsidR="00EB0DAC" w:rsidRDefault="00EB0DAC">
      <w:pPr>
        <w:rPr>
          <w:rFonts w:ascii="Arial" w:hAnsi="Arial" w:cs="Arial"/>
          <w:b/>
          <w:bCs/>
          <w:sz w:val="24"/>
        </w:rPr>
      </w:pPr>
    </w:p>
    <w:p w14:paraId="2B101E02" w14:textId="77777777" w:rsidR="00B8027A" w:rsidRDefault="00B8027A">
      <w:pPr>
        <w:rPr>
          <w:rFonts w:ascii="Arial" w:hAnsi="Arial" w:cs="Arial"/>
          <w:b/>
          <w:bCs/>
          <w:sz w:val="24"/>
        </w:rPr>
      </w:pPr>
    </w:p>
    <w:p w14:paraId="702E3F67" w14:textId="18BC37B6" w:rsidR="00FF49E4" w:rsidRDefault="00FF49E4" w:rsidP="009A422F">
      <w:pPr>
        <w:pStyle w:val="Heading2"/>
        <w:numPr>
          <w:ilvl w:val="0"/>
          <w:numId w:val="8"/>
        </w:numPr>
      </w:pPr>
      <w:bookmarkStart w:id="10" w:name="_Toc95382602"/>
      <w:r>
        <w:t>Adult social care workforce survey</w:t>
      </w:r>
      <w:bookmarkEnd w:id="10"/>
    </w:p>
    <w:p w14:paraId="3529B7DE" w14:textId="2669525B" w:rsidR="00865416" w:rsidRPr="00865416" w:rsidRDefault="00865416" w:rsidP="00865416">
      <w:pPr>
        <w:spacing w:after="0"/>
        <w:rPr>
          <w:rFonts w:ascii="Arial" w:eastAsia="Calibri" w:hAnsi="Arial" w:cs="Arial"/>
          <w:sz w:val="24"/>
        </w:rPr>
      </w:pPr>
      <w:r w:rsidRPr="00865416">
        <w:rPr>
          <w:rFonts w:ascii="Arial" w:eastAsia="Calibri" w:hAnsi="Arial" w:cs="Arial"/>
          <w:sz w:val="24"/>
        </w:rPr>
        <w:t>As at 31 January 2022, our inspectors had completed 939 snapshot surveys</w:t>
      </w:r>
      <w:r w:rsidRPr="00865416">
        <w:rPr>
          <w:rFonts w:ascii="Arial" w:eastAsia="Calibri" w:hAnsi="Arial" w:cs="Arial"/>
          <w:sz w:val="24"/>
          <w:vertAlign w:val="superscript"/>
        </w:rPr>
        <w:footnoteReference w:id="2"/>
      </w:r>
      <w:r w:rsidRPr="00865416">
        <w:rPr>
          <w:rFonts w:ascii="Arial" w:eastAsia="Calibri" w:hAnsi="Arial" w:cs="Arial"/>
          <w:sz w:val="24"/>
        </w:rPr>
        <w:t xml:space="preserve"> exploring with residential and home-care providers what impact workforce challenges and staffing shortages have had on the services they deliver to people. Of these:</w:t>
      </w:r>
    </w:p>
    <w:p w14:paraId="1C7F9AFD" w14:textId="77777777" w:rsidR="00865416" w:rsidRPr="00865416" w:rsidRDefault="00865416" w:rsidP="00865416">
      <w:pPr>
        <w:numPr>
          <w:ilvl w:val="0"/>
          <w:numId w:val="7"/>
        </w:numPr>
        <w:contextualSpacing/>
        <w:rPr>
          <w:rFonts w:ascii="Arial" w:eastAsia="Calibri" w:hAnsi="Arial" w:cs="Arial"/>
          <w:sz w:val="24"/>
        </w:rPr>
      </w:pPr>
      <w:r w:rsidRPr="00865416">
        <w:rPr>
          <w:rFonts w:ascii="Arial" w:eastAsia="Calibri" w:hAnsi="Arial" w:cs="Arial"/>
          <w:sz w:val="24"/>
        </w:rPr>
        <w:t>40% said that workforce challenges were having a negative impact on the service they deliver</w:t>
      </w:r>
    </w:p>
    <w:p w14:paraId="66699F7E" w14:textId="77777777" w:rsidR="00865416" w:rsidRPr="00865416" w:rsidRDefault="00865416" w:rsidP="00865416">
      <w:pPr>
        <w:numPr>
          <w:ilvl w:val="0"/>
          <w:numId w:val="7"/>
        </w:numPr>
        <w:contextualSpacing/>
        <w:rPr>
          <w:rFonts w:ascii="Arial" w:eastAsia="Calibri" w:hAnsi="Arial" w:cs="Arial"/>
          <w:sz w:val="24"/>
        </w:rPr>
      </w:pPr>
      <w:r w:rsidRPr="00865416">
        <w:rPr>
          <w:rFonts w:ascii="Arial" w:eastAsia="Calibri" w:hAnsi="Arial" w:cs="Arial"/>
          <w:sz w:val="24"/>
        </w:rPr>
        <w:t xml:space="preserve">23% said there has been a delay in accessing health and care services for people (for example, GPs, mental healthcare and speech and language therapy). </w:t>
      </w:r>
    </w:p>
    <w:p w14:paraId="6F329B87" w14:textId="77777777" w:rsidR="000F296B" w:rsidRDefault="000F296B" w:rsidP="000F296B">
      <w:pPr>
        <w:spacing w:after="0"/>
        <w:rPr>
          <w:rFonts w:ascii="Arial" w:eastAsia="Calibri" w:hAnsi="Arial" w:cs="Arial"/>
          <w:sz w:val="24"/>
          <w:szCs w:val="24"/>
        </w:rPr>
      </w:pPr>
    </w:p>
    <w:p w14:paraId="7D189ED4" w14:textId="1896E096" w:rsidR="00865416" w:rsidRDefault="00865416" w:rsidP="00865416">
      <w:pPr>
        <w:rPr>
          <w:rFonts w:ascii="Arial" w:eastAsia="Calibri" w:hAnsi="Arial" w:cs="Arial"/>
          <w:sz w:val="24"/>
          <w:szCs w:val="24"/>
        </w:rPr>
      </w:pPr>
      <w:r w:rsidRPr="00865416">
        <w:rPr>
          <w:rFonts w:ascii="Arial" w:eastAsia="Calibri" w:hAnsi="Arial" w:cs="Arial"/>
          <w:sz w:val="24"/>
          <w:szCs w:val="24"/>
        </w:rPr>
        <w:t xml:space="preserve">Of those providers who reported workforce challenges and who went on to provide further information (369), 83% said they were experiencing challenges related to recruitment; 64% staff absence; and 53% retention. </w:t>
      </w:r>
    </w:p>
    <w:p w14:paraId="3247DF53" w14:textId="77777777" w:rsidR="00B8027A" w:rsidRPr="00865416" w:rsidRDefault="00B8027A" w:rsidP="00865416">
      <w:pPr>
        <w:rPr>
          <w:rFonts w:ascii="Arial" w:eastAsia="Calibri" w:hAnsi="Arial" w:cs="Arial"/>
          <w:sz w:val="24"/>
          <w:szCs w:val="24"/>
        </w:rPr>
      </w:pPr>
    </w:p>
    <w:p w14:paraId="34922719" w14:textId="0A903930" w:rsidR="00865416" w:rsidRPr="00865416" w:rsidRDefault="00865416" w:rsidP="00865416">
      <w:pPr>
        <w:spacing w:after="120"/>
        <w:rPr>
          <w:rFonts w:ascii="Arial" w:eastAsia="Calibri" w:hAnsi="Arial" w:cs="Arial"/>
          <w:sz w:val="24"/>
        </w:rPr>
      </w:pPr>
      <w:r w:rsidRPr="00865416">
        <w:rPr>
          <w:rFonts w:ascii="Arial" w:eastAsia="Calibri" w:hAnsi="Arial" w:cs="Arial"/>
          <w:b/>
          <w:bCs/>
          <w:sz w:val="24"/>
          <w:szCs w:val="24"/>
        </w:rPr>
        <w:lastRenderedPageBreak/>
        <w:t>Residential providers</w:t>
      </w:r>
    </w:p>
    <w:p w14:paraId="65F2BC20" w14:textId="77777777" w:rsidR="00865416" w:rsidRPr="00865416" w:rsidRDefault="00865416" w:rsidP="00865416">
      <w:pPr>
        <w:spacing w:after="0"/>
        <w:rPr>
          <w:rFonts w:ascii="Arial" w:eastAsia="Calibri" w:hAnsi="Arial" w:cs="Arial"/>
          <w:sz w:val="24"/>
          <w:szCs w:val="24"/>
        </w:rPr>
      </w:pPr>
      <w:r w:rsidRPr="00865416">
        <w:rPr>
          <w:rFonts w:ascii="Arial" w:eastAsia="Calibri" w:hAnsi="Arial" w:cs="Arial"/>
          <w:sz w:val="24"/>
          <w:szCs w:val="24"/>
        </w:rPr>
        <w:t>Of those providers of residential care services</w:t>
      </w:r>
      <w:r w:rsidRPr="00865416">
        <w:rPr>
          <w:rFonts w:ascii="Arial" w:eastAsia="Calibri" w:hAnsi="Arial" w:cs="Arial"/>
          <w:sz w:val="24"/>
          <w:szCs w:val="24"/>
          <w:vertAlign w:val="superscript"/>
        </w:rPr>
        <w:footnoteReference w:id="3"/>
      </w:r>
      <w:r w:rsidRPr="00865416">
        <w:rPr>
          <w:rFonts w:ascii="Arial" w:eastAsia="Calibri" w:hAnsi="Arial" w:cs="Arial"/>
          <w:sz w:val="24"/>
          <w:szCs w:val="24"/>
        </w:rPr>
        <w:t xml:space="preserve"> who went on to provide further information about their </w:t>
      </w:r>
      <w:r w:rsidRPr="00865416">
        <w:rPr>
          <w:rFonts w:ascii="Arial" w:eastAsia="Calibri" w:hAnsi="Arial" w:cs="Arial"/>
          <w:b/>
          <w:bCs/>
          <w:sz w:val="24"/>
          <w:szCs w:val="24"/>
        </w:rPr>
        <w:t>recruitment</w:t>
      </w:r>
      <w:r w:rsidRPr="00865416">
        <w:rPr>
          <w:rFonts w:ascii="Arial" w:eastAsia="Calibri" w:hAnsi="Arial" w:cs="Arial"/>
          <w:sz w:val="24"/>
          <w:szCs w:val="24"/>
        </w:rPr>
        <w:t xml:space="preserve"> challenges (251):</w:t>
      </w:r>
    </w:p>
    <w:p w14:paraId="2C2813DC" w14:textId="77777777" w:rsidR="00865416" w:rsidRPr="00865416" w:rsidRDefault="00865416" w:rsidP="00865416">
      <w:pPr>
        <w:numPr>
          <w:ilvl w:val="0"/>
          <w:numId w:val="12"/>
        </w:numPr>
        <w:spacing w:after="0"/>
        <w:contextualSpacing/>
        <w:rPr>
          <w:rFonts w:ascii="Arial" w:eastAsia="Calibri" w:hAnsi="Arial" w:cs="Arial"/>
          <w:sz w:val="24"/>
          <w:szCs w:val="24"/>
        </w:rPr>
      </w:pPr>
      <w:r w:rsidRPr="00865416">
        <w:rPr>
          <w:rFonts w:ascii="Arial" w:eastAsia="Calibri" w:hAnsi="Arial" w:cs="Arial"/>
          <w:sz w:val="24"/>
          <w:szCs w:val="24"/>
        </w:rPr>
        <w:t>75% said they were unable to recruit care staff</w:t>
      </w:r>
    </w:p>
    <w:p w14:paraId="188E988B" w14:textId="77777777" w:rsidR="00865416" w:rsidRPr="00865416" w:rsidRDefault="00865416" w:rsidP="00865416">
      <w:pPr>
        <w:numPr>
          <w:ilvl w:val="0"/>
          <w:numId w:val="12"/>
        </w:numPr>
        <w:spacing w:after="0"/>
        <w:contextualSpacing/>
        <w:rPr>
          <w:rFonts w:ascii="Arial" w:eastAsia="Calibri" w:hAnsi="Arial" w:cs="Arial"/>
          <w:sz w:val="24"/>
          <w:szCs w:val="24"/>
        </w:rPr>
      </w:pPr>
      <w:r w:rsidRPr="00865416">
        <w:rPr>
          <w:rFonts w:ascii="Arial" w:eastAsia="Calibri" w:hAnsi="Arial" w:cs="Arial"/>
          <w:sz w:val="24"/>
          <w:szCs w:val="24"/>
        </w:rPr>
        <w:t>40% cited vaccination as a condition of deployment as a barrier to recruitment.</w:t>
      </w:r>
    </w:p>
    <w:p w14:paraId="317EDA1F" w14:textId="77777777" w:rsidR="00865416" w:rsidRPr="00AD5F40" w:rsidRDefault="00865416" w:rsidP="00865416">
      <w:pPr>
        <w:spacing w:after="0"/>
        <w:ind w:left="720"/>
        <w:contextualSpacing/>
        <w:rPr>
          <w:rFonts w:ascii="Arial" w:eastAsia="Calibri" w:hAnsi="Arial" w:cs="Arial"/>
          <w:sz w:val="8"/>
          <w:szCs w:val="8"/>
        </w:rPr>
      </w:pPr>
    </w:p>
    <w:p w14:paraId="6A82B7FE" w14:textId="2D1668D3" w:rsidR="00865416" w:rsidRPr="00865416" w:rsidRDefault="00865416" w:rsidP="00865416">
      <w:pPr>
        <w:spacing w:after="0"/>
        <w:rPr>
          <w:rFonts w:ascii="Arial" w:eastAsia="Calibri" w:hAnsi="Arial" w:cs="Arial"/>
          <w:sz w:val="24"/>
          <w:szCs w:val="24"/>
        </w:rPr>
      </w:pPr>
      <w:r w:rsidRPr="00865416">
        <w:rPr>
          <w:rFonts w:ascii="Arial" w:eastAsia="Calibri" w:hAnsi="Arial" w:cs="Arial"/>
          <w:sz w:val="24"/>
          <w:szCs w:val="24"/>
        </w:rPr>
        <w:t>Other challenges reported included pay and conditions (25%), agencies being unable to meet demand (24%), candidates lacking the necessary skills and experience (24%)</w:t>
      </w:r>
      <w:r w:rsidR="00042821">
        <w:rPr>
          <w:rFonts w:ascii="Arial" w:eastAsia="Calibri" w:hAnsi="Arial" w:cs="Arial"/>
          <w:sz w:val="24"/>
          <w:szCs w:val="24"/>
        </w:rPr>
        <w:t>,</w:t>
      </w:r>
      <w:r w:rsidRPr="00865416">
        <w:rPr>
          <w:rFonts w:ascii="Arial" w:eastAsia="Calibri" w:hAnsi="Arial" w:cs="Arial"/>
          <w:sz w:val="24"/>
          <w:szCs w:val="24"/>
        </w:rPr>
        <w:t xml:space="preserve"> and problems related to the recruitment of ancillary staff (24%).</w:t>
      </w:r>
    </w:p>
    <w:p w14:paraId="33D97838" w14:textId="77777777" w:rsidR="00865416" w:rsidRPr="00AD5F40" w:rsidRDefault="00865416" w:rsidP="00865416">
      <w:pPr>
        <w:spacing w:after="0"/>
        <w:rPr>
          <w:rFonts w:ascii="Arial" w:eastAsia="Calibri" w:hAnsi="Arial" w:cs="Arial"/>
          <w:sz w:val="16"/>
          <w:szCs w:val="16"/>
        </w:rPr>
      </w:pPr>
    </w:p>
    <w:p w14:paraId="38E5DA3B" w14:textId="77777777" w:rsidR="00865416" w:rsidRPr="00865416" w:rsidRDefault="00865416" w:rsidP="00865416">
      <w:pPr>
        <w:spacing w:after="0"/>
        <w:rPr>
          <w:rFonts w:ascii="Arial" w:eastAsia="Calibri" w:hAnsi="Arial" w:cs="Arial"/>
          <w:sz w:val="24"/>
          <w:szCs w:val="24"/>
        </w:rPr>
      </w:pPr>
      <w:r w:rsidRPr="00865416">
        <w:rPr>
          <w:rFonts w:ascii="Arial" w:eastAsia="Calibri" w:hAnsi="Arial" w:cs="Arial"/>
          <w:sz w:val="24"/>
          <w:szCs w:val="24"/>
        </w:rPr>
        <w:t xml:space="preserve">Of those providers of residential care services who went on to provide further information about their </w:t>
      </w:r>
      <w:r w:rsidRPr="00865416">
        <w:rPr>
          <w:rFonts w:ascii="Arial" w:eastAsia="Calibri" w:hAnsi="Arial" w:cs="Arial"/>
          <w:b/>
          <w:bCs/>
          <w:sz w:val="24"/>
          <w:szCs w:val="24"/>
        </w:rPr>
        <w:t>staff absence</w:t>
      </w:r>
      <w:r w:rsidRPr="00865416">
        <w:rPr>
          <w:rFonts w:ascii="Arial" w:eastAsia="Calibri" w:hAnsi="Arial" w:cs="Arial"/>
          <w:sz w:val="24"/>
          <w:szCs w:val="24"/>
        </w:rPr>
        <w:t xml:space="preserve"> challenges (196):</w:t>
      </w:r>
    </w:p>
    <w:p w14:paraId="64F1D3C3" w14:textId="31894254" w:rsidR="00865416" w:rsidRPr="00865416" w:rsidRDefault="00865416" w:rsidP="00865416">
      <w:pPr>
        <w:numPr>
          <w:ilvl w:val="0"/>
          <w:numId w:val="14"/>
        </w:numPr>
        <w:spacing w:after="0"/>
        <w:contextualSpacing/>
        <w:rPr>
          <w:rFonts w:ascii="Arial" w:eastAsia="Calibri" w:hAnsi="Arial" w:cs="Arial"/>
          <w:sz w:val="24"/>
          <w:szCs w:val="24"/>
        </w:rPr>
      </w:pPr>
      <w:r w:rsidRPr="00865416">
        <w:rPr>
          <w:rFonts w:ascii="Arial" w:eastAsia="Calibri" w:hAnsi="Arial" w:cs="Arial"/>
          <w:sz w:val="24"/>
          <w:szCs w:val="24"/>
        </w:rPr>
        <w:t xml:space="preserve">92% told us these </w:t>
      </w:r>
      <w:r w:rsidR="004D77C2">
        <w:rPr>
          <w:rFonts w:ascii="Arial" w:eastAsia="Calibri" w:hAnsi="Arial" w:cs="Arial"/>
          <w:sz w:val="24"/>
          <w:szCs w:val="24"/>
        </w:rPr>
        <w:t>were</w:t>
      </w:r>
      <w:r w:rsidR="004D77C2" w:rsidRPr="00865416">
        <w:rPr>
          <w:rFonts w:ascii="Arial" w:eastAsia="Calibri" w:hAnsi="Arial" w:cs="Arial"/>
          <w:sz w:val="24"/>
          <w:szCs w:val="24"/>
        </w:rPr>
        <w:t xml:space="preserve"> </w:t>
      </w:r>
      <w:r w:rsidRPr="00865416">
        <w:rPr>
          <w:rFonts w:ascii="Arial" w:eastAsia="Calibri" w:hAnsi="Arial" w:cs="Arial"/>
          <w:sz w:val="24"/>
          <w:szCs w:val="24"/>
        </w:rPr>
        <w:t>COVID-19 related sickness</w:t>
      </w:r>
    </w:p>
    <w:p w14:paraId="2C55C0E0" w14:textId="77777777" w:rsidR="00865416" w:rsidRPr="00865416" w:rsidRDefault="00865416" w:rsidP="00865416">
      <w:pPr>
        <w:numPr>
          <w:ilvl w:val="0"/>
          <w:numId w:val="14"/>
        </w:numPr>
        <w:spacing w:after="0"/>
        <w:contextualSpacing/>
        <w:rPr>
          <w:rFonts w:ascii="Arial" w:eastAsia="Calibri" w:hAnsi="Arial" w:cs="Arial"/>
          <w:sz w:val="24"/>
          <w:szCs w:val="24"/>
        </w:rPr>
      </w:pPr>
      <w:r w:rsidRPr="00865416">
        <w:rPr>
          <w:rFonts w:ascii="Arial" w:eastAsia="Calibri" w:hAnsi="Arial" w:cs="Arial"/>
          <w:sz w:val="24"/>
          <w:szCs w:val="24"/>
        </w:rPr>
        <w:t>33% told us they were experiencing problems with non-COVID related sickness.</w:t>
      </w:r>
    </w:p>
    <w:p w14:paraId="70D50D77" w14:textId="77777777" w:rsidR="00865416" w:rsidRPr="00AD5F40" w:rsidRDefault="00865416" w:rsidP="00865416">
      <w:pPr>
        <w:spacing w:after="0"/>
        <w:ind w:left="720"/>
        <w:contextualSpacing/>
        <w:rPr>
          <w:rFonts w:ascii="Arial" w:eastAsia="Calibri" w:hAnsi="Arial" w:cs="Arial"/>
          <w:sz w:val="16"/>
          <w:szCs w:val="16"/>
        </w:rPr>
      </w:pPr>
    </w:p>
    <w:p w14:paraId="387281FF" w14:textId="77777777" w:rsidR="00865416" w:rsidRPr="00865416" w:rsidRDefault="00865416" w:rsidP="00865416">
      <w:pPr>
        <w:spacing w:after="0"/>
        <w:rPr>
          <w:rFonts w:ascii="Arial" w:eastAsia="Calibri" w:hAnsi="Arial" w:cs="Arial"/>
          <w:sz w:val="24"/>
          <w:szCs w:val="24"/>
        </w:rPr>
      </w:pPr>
      <w:r w:rsidRPr="00865416">
        <w:rPr>
          <w:rFonts w:ascii="Arial" w:eastAsia="Calibri" w:hAnsi="Arial" w:cs="Arial"/>
          <w:sz w:val="24"/>
          <w:szCs w:val="24"/>
        </w:rPr>
        <w:t xml:space="preserve">Of those providers of residential care services who went on to provide further information about their </w:t>
      </w:r>
      <w:r w:rsidRPr="00865416">
        <w:rPr>
          <w:rFonts w:ascii="Arial" w:eastAsia="Calibri" w:hAnsi="Arial" w:cs="Arial"/>
          <w:b/>
          <w:bCs/>
          <w:sz w:val="24"/>
          <w:szCs w:val="24"/>
        </w:rPr>
        <w:t>retention</w:t>
      </w:r>
      <w:r w:rsidRPr="00865416">
        <w:rPr>
          <w:rFonts w:ascii="Arial" w:eastAsia="Calibri" w:hAnsi="Arial" w:cs="Arial"/>
          <w:sz w:val="24"/>
          <w:szCs w:val="24"/>
        </w:rPr>
        <w:t xml:space="preserve"> challenges (164):</w:t>
      </w:r>
    </w:p>
    <w:p w14:paraId="1BF1DF8B" w14:textId="77777777" w:rsidR="00865416" w:rsidRPr="00865416" w:rsidRDefault="00865416" w:rsidP="00865416">
      <w:pPr>
        <w:numPr>
          <w:ilvl w:val="0"/>
          <w:numId w:val="13"/>
        </w:numPr>
        <w:spacing w:after="0"/>
        <w:contextualSpacing/>
        <w:rPr>
          <w:rFonts w:ascii="Arial" w:eastAsia="Calibri" w:hAnsi="Arial" w:cs="Arial"/>
          <w:sz w:val="24"/>
          <w:szCs w:val="24"/>
        </w:rPr>
      </w:pPr>
      <w:r w:rsidRPr="00865416">
        <w:rPr>
          <w:rFonts w:ascii="Arial" w:eastAsia="Calibri" w:hAnsi="Arial" w:cs="Arial"/>
          <w:sz w:val="24"/>
          <w:szCs w:val="24"/>
        </w:rPr>
        <w:t xml:space="preserve">65% said staff were leaving the sector to work elsewhere </w:t>
      </w:r>
    </w:p>
    <w:p w14:paraId="29198B0C" w14:textId="77777777" w:rsidR="00865416" w:rsidRPr="00865416" w:rsidRDefault="00865416" w:rsidP="00865416">
      <w:pPr>
        <w:numPr>
          <w:ilvl w:val="0"/>
          <w:numId w:val="13"/>
        </w:numPr>
        <w:spacing w:after="0"/>
        <w:contextualSpacing/>
        <w:rPr>
          <w:rFonts w:ascii="Arial" w:eastAsia="Calibri" w:hAnsi="Arial" w:cs="Arial"/>
          <w:sz w:val="24"/>
          <w:szCs w:val="24"/>
        </w:rPr>
      </w:pPr>
      <w:r w:rsidRPr="00865416">
        <w:rPr>
          <w:rFonts w:ascii="Arial" w:eastAsia="Calibri" w:hAnsi="Arial" w:cs="Arial"/>
          <w:sz w:val="24"/>
          <w:szCs w:val="24"/>
        </w:rPr>
        <w:t>48% said vaccination as a condition of deployment was causing retention issues.</w:t>
      </w:r>
    </w:p>
    <w:p w14:paraId="53F82400" w14:textId="77777777" w:rsidR="00865416" w:rsidRPr="00AD5F40" w:rsidRDefault="00865416" w:rsidP="00865416">
      <w:pPr>
        <w:spacing w:after="0"/>
        <w:ind w:left="360"/>
        <w:contextualSpacing/>
        <w:rPr>
          <w:rFonts w:ascii="Arial" w:eastAsia="Calibri" w:hAnsi="Arial" w:cs="Arial"/>
          <w:sz w:val="6"/>
          <w:szCs w:val="6"/>
        </w:rPr>
      </w:pPr>
    </w:p>
    <w:p w14:paraId="7189E944" w14:textId="77777777" w:rsidR="00865416" w:rsidRPr="00865416" w:rsidRDefault="00865416" w:rsidP="00865416">
      <w:pPr>
        <w:spacing w:after="160"/>
        <w:rPr>
          <w:rFonts w:ascii="Arial" w:eastAsia="Calibri" w:hAnsi="Arial" w:cs="Arial"/>
          <w:sz w:val="24"/>
          <w:szCs w:val="24"/>
        </w:rPr>
      </w:pPr>
      <w:r w:rsidRPr="00865416">
        <w:rPr>
          <w:rFonts w:ascii="Arial" w:eastAsia="Calibri" w:hAnsi="Arial" w:cs="Arial"/>
          <w:sz w:val="24"/>
          <w:szCs w:val="24"/>
        </w:rPr>
        <w:t xml:space="preserve">Other challenges reported included staff absence (39%), staff burnout (28%) and pay and conditions (21%). </w:t>
      </w:r>
    </w:p>
    <w:p w14:paraId="2F59CA6E" w14:textId="77777777" w:rsidR="00865416" w:rsidRPr="00865416" w:rsidRDefault="00865416" w:rsidP="00865416">
      <w:pPr>
        <w:spacing w:after="0"/>
        <w:rPr>
          <w:rFonts w:ascii="Arial" w:eastAsia="Calibri" w:hAnsi="Arial" w:cs="Arial"/>
          <w:sz w:val="24"/>
        </w:rPr>
      </w:pPr>
      <w:r w:rsidRPr="00865416">
        <w:rPr>
          <w:rFonts w:ascii="Arial" w:eastAsia="Calibri" w:hAnsi="Arial" w:cs="Arial"/>
          <w:sz w:val="24"/>
        </w:rPr>
        <w:t xml:space="preserve">Of providers of residential care services that reported workforce challenges and went on to provide further information about how they were mitigating the risk to people (339): </w:t>
      </w:r>
    </w:p>
    <w:p w14:paraId="22B79C4E" w14:textId="77777777" w:rsidR="00865416" w:rsidRPr="00865416" w:rsidRDefault="00865416" w:rsidP="00865416">
      <w:pPr>
        <w:numPr>
          <w:ilvl w:val="0"/>
          <w:numId w:val="15"/>
        </w:numPr>
        <w:contextualSpacing/>
        <w:rPr>
          <w:rFonts w:ascii="Arial" w:eastAsia="Calibri" w:hAnsi="Arial" w:cs="Arial"/>
          <w:sz w:val="24"/>
        </w:rPr>
      </w:pPr>
      <w:r w:rsidRPr="00865416">
        <w:rPr>
          <w:rFonts w:ascii="Arial" w:eastAsia="Calibri" w:hAnsi="Arial" w:cs="Arial"/>
          <w:sz w:val="24"/>
        </w:rPr>
        <w:t xml:space="preserve">65% told us that they were increasing their use of agency staff to cover shortfalls in staffing levels </w:t>
      </w:r>
    </w:p>
    <w:p w14:paraId="78F4149B" w14:textId="77777777" w:rsidR="00865416" w:rsidRPr="00865416" w:rsidRDefault="00865416" w:rsidP="005113A6">
      <w:pPr>
        <w:numPr>
          <w:ilvl w:val="0"/>
          <w:numId w:val="15"/>
        </w:numPr>
        <w:spacing w:after="80"/>
        <w:ind w:left="357" w:hanging="357"/>
        <w:rPr>
          <w:rFonts w:ascii="Arial" w:eastAsia="Calibri" w:hAnsi="Arial" w:cs="Arial"/>
          <w:sz w:val="24"/>
        </w:rPr>
      </w:pPr>
      <w:r w:rsidRPr="00865416">
        <w:rPr>
          <w:rFonts w:ascii="Arial" w:eastAsia="Calibri" w:hAnsi="Arial" w:cs="Arial"/>
          <w:sz w:val="24"/>
        </w:rPr>
        <w:t>54% told us that they were using existing staff to fill gaps across the workforce.</w:t>
      </w:r>
    </w:p>
    <w:p w14:paraId="46C767F5" w14:textId="68B3704E" w:rsidR="00865416" w:rsidRPr="00865416" w:rsidRDefault="00865416" w:rsidP="00AD5F40">
      <w:pPr>
        <w:spacing w:after="120"/>
        <w:rPr>
          <w:rFonts w:ascii="Arial" w:eastAsia="Calibri" w:hAnsi="Arial" w:cs="Arial"/>
          <w:sz w:val="24"/>
        </w:rPr>
      </w:pPr>
      <w:r w:rsidRPr="00865416">
        <w:rPr>
          <w:rFonts w:ascii="Arial" w:eastAsia="Calibri" w:hAnsi="Arial" w:cs="Arial"/>
          <w:sz w:val="24"/>
        </w:rPr>
        <w:t>Other strategies reported included increased pay (38%), rolling recruitment (36%), paid overtime (3</w:t>
      </w:r>
      <w:r w:rsidR="00FA5E10">
        <w:rPr>
          <w:rFonts w:ascii="Arial" w:eastAsia="Calibri" w:hAnsi="Arial" w:cs="Arial"/>
          <w:sz w:val="24"/>
        </w:rPr>
        <w:t>4</w:t>
      </w:r>
      <w:r w:rsidRPr="00865416">
        <w:rPr>
          <w:rFonts w:ascii="Arial" w:eastAsia="Calibri" w:hAnsi="Arial" w:cs="Arial"/>
          <w:sz w:val="24"/>
        </w:rPr>
        <w:t>%) and wellbeing initiatives (32%).</w:t>
      </w:r>
      <w:r w:rsidR="001075BE">
        <w:rPr>
          <w:rFonts w:ascii="Arial" w:eastAsia="Calibri" w:hAnsi="Arial" w:cs="Arial"/>
          <w:sz w:val="24"/>
        </w:rPr>
        <w:t xml:space="preserve"> The following example was captured in free text information:</w:t>
      </w:r>
    </w:p>
    <w:p w14:paraId="6AEC0056" w14:textId="77777777" w:rsidR="00865416" w:rsidRPr="00865416" w:rsidRDefault="00865416" w:rsidP="00865416">
      <w:pPr>
        <w:ind w:left="720"/>
        <w:rPr>
          <w:rFonts w:ascii="Arial" w:eastAsia="Calibri" w:hAnsi="Arial" w:cs="Arial"/>
          <w:sz w:val="24"/>
        </w:rPr>
      </w:pPr>
      <w:r w:rsidRPr="00865416">
        <w:rPr>
          <w:rFonts w:ascii="Arial" w:eastAsia="Calibri" w:hAnsi="Arial" w:cs="Arial"/>
          <w:sz w:val="24"/>
        </w:rPr>
        <w:t>“Staff have been amazing. We have given staff hampers and a bonus for their hard work.”</w:t>
      </w:r>
    </w:p>
    <w:p w14:paraId="7AD5D761" w14:textId="77777777" w:rsidR="00865416" w:rsidRPr="00865416" w:rsidRDefault="00865416" w:rsidP="00AD5F40">
      <w:pPr>
        <w:spacing w:after="120"/>
        <w:rPr>
          <w:rFonts w:ascii="Arial" w:eastAsia="Calibri" w:hAnsi="Arial" w:cs="Arial"/>
          <w:sz w:val="24"/>
        </w:rPr>
      </w:pPr>
      <w:r w:rsidRPr="00865416">
        <w:rPr>
          <w:rFonts w:ascii="Arial" w:eastAsia="Calibri" w:hAnsi="Arial" w:cs="Arial"/>
          <w:sz w:val="24"/>
        </w:rPr>
        <w:lastRenderedPageBreak/>
        <w:t>Information captured in the free text sections of the survey reflected concern that these strategies may not be sustainable in the long term, with providers acknowledging that they can cause additional pressure for staff, poorer staff mental health and risked staff experiencing burnout.</w:t>
      </w:r>
    </w:p>
    <w:p w14:paraId="78B4930E" w14:textId="77777777" w:rsidR="00865416" w:rsidRPr="00865416" w:rsidRDefault="00865416" w:rsidP="00865416">
      <w:pPr>
        <w:ind w:left="720"/>
        <w:contextualSpacing/>
        <w:rPr>
          <w:rFonts w:ascii="Arial" w:eastAsia="Calibri" w:hAnsi="Arial" w:cs="Arial"/>
          <w:sz w:val="24"/>
        </w:rPr>
      </w:pPr>
      <w:r w:rsidRPr="00865416">
        <w:rPr>
          <w:rFonts w:ascii="Arial" w:eastAsia="Calibri" w:hAnsi="Arial" w:cs="Arial"/>
          <w:sz w:val="24"/>
        </w:rPr>
        <w:t>“Concern longer term that staff [are] tired and covering a couple of vacancies.”</w:t>
      </w:r>
    </w:p>
    <w:p w14:paraId="427A72CD" w14:textId="77777777" w:rsidR="00865416" w:rsidRPr="00AD5F40" w:rsidRDefault="00865416" w:rsidP="00865416">
      <w:pPr>
        <w:ind w:left="720"/>
        <w:contextualSpacing/>
        <w:rPr>
          <w:rFonts w:ascii="Arial" w:eastAsia="Calibri" w:hAnsi="Arial" w:cs="Arial"/>
          <w:sz w:val="12"/>
          <w:szCs w:val="10"/>
        </w:rPr>
      </w:pPr>
    </w:p>
    <w:p w14:paraId="6E92FFE8" w14:textId="7724A477" w:rsidR="00865416" w:rsidRPr="00865416" w:rsidRDefault="00865416" w:rsidP="00865416">
      <w:pPr>
        <w:ind w:left="720"/>
        <w:contextualSpacing/>
        <w:rPr>
          <w:rFonts w:ascii="Arial" w:eastAsia="Calibri" w:hAnsi="Arial" w:cs="Arial"/>
          <w:sz w:val="24"/>
        </w:rPr>
      </w:pPr>
      <w:r w:rsidRPr="00865416">
        <w:rPr>
          <w:rFonts w:ascii="Arial" w:eastAsia="Calibri" w:hAnsi="Arial" w:cs="Arial"/>
          <w:sz w:val="24"/>
        </w:rPr>
        <w:t>“Finding a replacement domestic has been tricky and now care and nursing staff are covering cleaning duties</w:t>
      </w:r>
      <w:r w:rsidR="00D13394">
        <w:rPr>
          <w:rFonts w:ascii="Arial" w:eastAsia="Calibri" w:hAnsi="Arial" w:cs="Arial"/>
          <w:sz w:val="24"/>
        </w:rPr>
        <w:t>.</w:t>
      </w:r>
      <w:r w:rsidRPr="00865416">
        <w:rPr>
          <w:rFonts w:ascii="Arial" w:eastAsia="Calibri" w:hAnsi="Arial" w:cs="Arial"/>
          <w:sz w:val="24"/>
        </w:rPr>
        <w:t xml:space="preserve">” </w:t>
      </w:r>
    </w:p>
    <w:p w14:paraId="538F594A" w14:textId="77777777" w:rsidR="00454484" w:rsidRPr="00AD5F40" w:rsidRDefault="00454484" w:rsidP="00AD5F40">
      <w:pPr>
        <w:spacing w:after="0"/>
        <w:rPr>
          <w:rFonts w:ascii="Arial" w:eastAsia="Calibri" w:hAnsi="Arial" w:cs="Arial"/>
          <w:sz w:val="14"/>
          <w:szCs w:val="12"/>
        </w:rPr>
      </w:pPr>
    </w:p>
    <w:p w14:paraId="18705488" w14:textId="53C668C2" w:rsidR="00865416" w:rsidRPr="00865416" w:rsidRDefault="00865416" w:rsidP="00865416">
      <w:pPr>
        <w:rPr>
          <w:rFonts w:ascii="Arial" w:eastAsia="Calibri" w:hAnsi="Arial" w:cs="Arial"/>
          <w:sz w:val="24"/>
        </w:rPr>
      </w:pPr>
      <w:r w:rsidRPr="00865416">
        <w:rPr>
          <w:rFonts w:ascii="Arial" w:eastAsia="Calibri" w:hAnsi="Arial" w:cs="Arial"/>
          <w:sz w:val="24"/>
        </w:rPr>
        <w:t xml:space="preserve">However, there was evidence that some providers are adopting longer-term strategies, such as investing in staff training and qualifications (26%), developing career pathways (19%), and improved terms and conditions (17%). </w:t>
      </w:r>
    </w:p>
    <w:p w14:paraId="28679297" w14:textId="79C25F1D" w:rsidR="00865416" w:rsidRPr="00865416" w:rsidRDefault="001075BE" w:rsidP="00AD5F40">
      <w:pPr>
        <w:spacing w:after="120"/>
        <w:rPr>
          <w:rFonts w:ascii="Arial" w:eastAsia="Calibri" w:hAnsi="Arial" w:cs="Arial"/>
          <w:sz w:val="24"/>
        </w:rPr>
      </w:pPr>
      <w:r>
        <w:rPr>
          <w:rFonts w:ascii="Arial" w:eastAsia="Calibri" w:hAnsi="Arial" w:cs="Arial"/>
          <w:sz w:val="24"/>
        </w:rPr>
        <w:t>Free text information</w:t>
      </w:r>
      <w:r w:rsidR="00865416" w:rsidRPr="00865416">
        <w:rPr>
          <w:rFonts w:ascii="Arial" w:eastAsia="Calibri" w:hAnsi="Arial" w:cs="Arial"/>
          <w:sz w:val="24"/>
        </w:rPr>
        <w:t xml:space="preserve"> also reflects how hard providers have been working to maintain care for people in challenging times. For example, some providers talked about how they were seeking to maintain continuity of care </w:t>
      </w:r>
      <w:r w:rsidR="005E613B">
        <w:rPr>
          <w:rFonts w:ascii="Arial" w:eastAsia="Calibri" w:hAnsi="Arial" w:cs="Arial"/>
          <w:sz w:val="24"/>
        </w:rPr>
        <w:t>while using</w:t>
      </w:r>
      <w:r w:rsidR="00E05A72">
        <w:rPr>
          <w:rFonts w:ascii="Arial" w:eastAsia="Calibri" w:hAnsi="Arial" w:cs="Arial"/>
          <w:sz w:val="24"/>
        </w:rPr>
        <w:t xml:space="preserve"> a</w:t>
      </w:r>
      <w:r w:rsidR="00865416" w:rsidRPr="00865416">
        <w:rPr>
          <w:rFonts w:ascii="Arial" w:eastAsia="Calibri" w:hAnsi="Arial" w:cs="Arial"/>
          <w:sz w:val="24"/>
        </w:rPr>
        <w:t xml:space="preserve"> high </w:t>
      </w:r>
      <w:r w:rsidR="00E05A72">
        <w:rPr>
          <w:rFonts w:ascii="Arial" w:eastAsia="Calibri" w:hAnsi="Arial" w:cs="Arial"/>
          <w:sz w:val="24"/>
        </w:rPr>
        <w:t>number</w:t>
      </w:r>
      <w:r w:rsidR="00865416" w:rsidRPr="00865416">
        <w:rPr>
          <w:rFonts w:ascii="Arial" w:eastAsia="Calibri" w:hAnsi="Arial" w:cs="Arial"/>
          <w:sz w:val="24"/>
        </w:rPr>
        <w:t xml:space="preserve"> of agency staff.</w:t>
      </w:r>
    </w:p>
    <w:p w14:paraId="286F72A3" w14:textId="77777777" w:rsidR="00865416" w:rsidRPr="00865416" w:rsidRDefault="00865416" w:rsidP="00AD5F40">
      <w:pPr>
        <w:spacing w:after="120"/>
        <w:ind w:left="720"/>
        <w:rPr>
          <w:rFonts w:ascii="Arial" w:eastAsia="Calibri" w:hAnsi="Arial" w:cs="Arial"/>
          <w:sz w:val="24"/>
        </w:rPr>
      </w:pPr>
      <w:r w:rsidRPr="00865416">
        <w:rPr>
          <w:rFonts w:ascii="Arial" w:eastAsia="Calibri" w:hAnsi="Arial" w:cs="Arial"/>
          <w:sz w:val="24"/>
        </w:rPr>
        <w:t>“The care home uses regular agency staff that have got to know the care home residents very well. This ensures people receive consistent care.”</w:t>
      </w:r>
    </w:p>
    <w:p w14:paraId="568DB181" w14:textId="77777777" w:rsidR="00865416" w:rsidRPr="00865416" w:rsidRDefault="00865416" w:rsidP="00865416">
      <w:pPr>
        <w:ind w:left="720"/>
        <w:rPr>
          <w:rFonts w:ascii="Arial" w:eastAsia="Calibri" w:hAnsi="Arial" w:cs="Arial"/>
          <w:sz w:val="24"/>
        </w:rPr>
      </w:pPr>
      <w:r w:rsidRPr="00865416">
        <w:rPr>
          <w:rFonts w:ascii="Arial" w:eastAsia="Calibri" w:hAnsi="Arial" w:cs="Arial"/>
          <w:sz w:val="24"/>
        </w:rPr>
        <w:t>“The care home has managed to block book agency staff to support the current low staffing levels. These agency staff have all had the training and supervision that employed staff receive and describe themselves as a member of the team.”</w:t>
      </w:r>
    </w:p>
    <w:p w14:paraId="14DF76FC" w14:textId="4C6C4A3D" w:rsidR="00865416" w:rsidRPr="00865416" w:rsidRDefault="00865416" w:rsidP="00AD5F40">
      <w:pPr>
        <w:spacing w:after="120"/>
        <w:rPr>
          <w:rFonts w:ascii="Arial" w:eastAsia="Calibri" w:hAnsi="Arial" w:cs="Arial"/>
          <w:sz w:val="24"/>
        </w:rPr>
      </w:pPr>
      <w:r w:rsidRPr="00865416">
        <w:rPr>
          <w:rFonts w:ascii="Arial" w:eastAsia="Calibri" w:hAnsi="Arial" w:cs="Arial"/>
          <w:sz w:val="24"/>
        </w:rPr>
        <w:t xml:space="preserve">There were also examples of training being used so that staff can cover other roles when necessary. </w:t>
      </w:r>
    </w:p>
    <w:p w14:paraId="5BE46235" w14:textId="77777777" w:rsidR="00865416" w:rsidRPr="00865416" w:rsidRDefault="00865416" w:rsidP="00865416">
      <w:pPr>
        <w:ind w:left="720"/>
        <w:rPr>
          <w:rFonts w:ascii="Arial" w:eastAsia="Calibri" w:hAnsi="Arial" w:cs="Arial"/>
          <w:sz w:val="24"/>
        </w:rPr>
      </w:pPr>
      <w:r w:rsidRPr="00865416">
        <w:rPr>
          <w:rFonts w:ascii="Arial" w:eastAsia="Calibri" w:hAnsi="Arial" w:cs="Arial"/>
          <w:sz w:val="24"/>
        </w:rPr>
        <w:t>“Training for staff on site with a bespoke company trainer.”</w:t>
      </w:r>
    </w:p>
    <w:p w14:paraId="63988217" w14:textId="427A4241" w:rsidR="00865416" w:rsidRPr="00865416" w:rsidRDefault="00865416" w:rsidP="00AD5F40">
      <w:pPr>
        <w:spacing w:after="120"/>
        <w:rPr>
          <w:rFonts w:ascii="Arial" w:eastAsia="Calibri" w:hAnsi="Arial" w:cs="Arial"/>
          <w:sz w:val="24"/>
        </w:rPr>
      </w:pPr>
      <w:r w:rsidRPr="00865416">
        <w:rPr>
          <w:rFonts w:ascii="Arial" w:eastAsia="Calibri" w:hAnsi="Arial" w:cs="Arial"/>
          <w:sz w:val="24"/>
        </w:rPr>
        <w:t>Other examples were also given of using technology, including social media, to reach out to potential candidates and recruit new staff. Providers have told us about their use of technology to maximise and prioritise the support given by existing staff, including computerised care planning tools</w:t>
      </w:r>
      <w:r w:rsidR="002D4301">
        <w:rPr>
          <w:rFonts w:ascii="Arial" w:eastAsia="Calibri" w:hAnsi="Arial" w:cs="Arial"/>
          <w:sz w:val="24"/>
        </w:rPr>
        <w:t>, and</w:t>
      </w:r>
      <w:r w:rsidRPr="00865416">
        <w:rPr>
          <w:rFonts w:ascii="Arial" w:eastAsia="Calibri" w:hAnsi="Arial" w:cs="Arial"/>
          <w:sz w:val="24"/>
        </w:rPr>
        <w:t xml:space="preserve"> a resident dependency calculation tool to help staff prioritise care for residents.</w:t>
      </w:r>
    </w:p>
    <w:p w14:paraId="6CC38957" w14:textId="2291ED44" w:rsidR="00865416" w:rsidRPr="00865416" w:rsidRDefault="00865416" w:rsidP="00865416">
      <w:pPr>
        <w:ind w:left="720"/>
        <w:rPr>
          <w:rFonts w:ascii="Arial" w:eastAsia="Calibri" w:hAnsi="Arial" w:cs="Arial"/>
          <w:sz w:val="24"/>
        </w:rPr>
      </w:pPr>
      <w:r w:rsidRPr="00865416">
        <w:rPr>
          <w:rFonts w:ascii="Arial" w:eastAsia="Calibri" w:hAnsi="Arial" w:cs="Arial"/>
          <w:sz w:val="24"/>
        </w:rPr>
        <w:t xml:space="preserve">“Positive impact is the introduction of a computerised care planning system to give more time for staff to spend with people. Rolled </w:t>
      </w:r>
      <w:r w:rsidR="002D4301">
        <w:rPr>
          <w:rFonts w:ascii="Arial" w:eastAsia="Calibri" w:hAnsi="Arial" w:cs="Arial"/>
          <w:sz w:val="24"/>
        </w:rPr>
        <w:t>out</w:t>
      </w:r>
      <w:r w:rsidRPr="00865416">
        <w:rPr>
          <w:rFonts w:ascii="Arial" w:eastAsia="Calibri" w:hAnsi="Arial" w:cs="Arial"/>
          <w:sz w:val="24"/>
        </w:rPr>
        <w:t xml:space="preserve"> as a pilot in one care home. With the hope to roll out over the coming year to all the other homes.”</w:t>
      </w:r>
    </w:p>
    <w:p w14:paraId="2478B868" w14:textId="77777777" w:rsidR="00865416" w:rsidRPr="00865416" w:rsidRDefault="00865416" w:rsidP="00AD5F40">
      <w:pPr>
        <w:spacing w:after="120"/>
        <w:rPr>
          <w:rFonts w:ascii="Arial" w:eastAsia="Calibri" w:hAnsi="Arial" w:cs="Arial"/>
          <w:sz w:val="24"/>
        </w:rPr>
      </w:pPr>
      <w:r w:rsidRPr="00865416">
        <w:rPr>
          <w:rFonts w:ascii="Arial" w:eastAsia="Calibri" w:hAnsi="Arial" w:cs="Arial"/>
          <w:sz w:val="24"/>
        </w:rPr>
        <w:t>Overseas recruitment was also mentioned by providers in conversations with inspectors.</w:t>
      </w:r>
    </w:p>
    <w:p w14:paraId="257A2D01" w14:textId="6E4FC1E1" w:rsidR="00664CBF" w:rsidRPr="001A6DA6" w:rsidRDefault="00865416" w:rsidP="00AD5F40">
      <w:pPr>
        <w:tabs>
          <w:tab w:val="left" w:pos="1620"/>
        </w:tabs>
        <w:ind w:left="720"/>
        <w:rPr>
          <w:rFonts w:ascii="Arial" w:hAnsi="Arial" w:cs="Arial"/>
          <w:sz w:val="24"/>
        </w:rPr>
      </w:pPr>
      <w:r w:rsidRPr="00865416">
        <w:rPr>
          <w:rFonts w:ascii="Arial" w:eastAsia="Calibri" w:hAnsi="Arial" w:cs="Arial"/>
          <w:sz w:val="24"/>
        </w:rPr>
        <w:t>“Provider has accessed a government scheme to bring in workers from abroad.”</w:t>
      </w:r>
    </w:p>
    <w:sectPr w:rsidR="00664CBF" w:rsidRPr="001A6DA6" w:rsidSect="00A26D3B">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851"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4854" w16cex:dateUtc="2022-02-15T23:42:00Z"/>
  <w16cex:commentExtensible w16cex:durableId="25B7640F" w16cex:dateUtc="2022-02-16T19:52:00Z"/>
  <w16cex:commentExtensible w16cex:durableId="25B649B4" w16cex:dateUtc="2022-02-15T23:48:00Z"/>
  <w16cex:commentExtensible w16cex:durableId="25B767CC" w16cex:dateUtc="2022-02-16T20:08:00Z"/>
  <w16cex:commentExtensible w16cex:durableId="25B64BA4" w16cex:dateUtc="2022-02-15T23:56:00Z"/>
  <w16cex:commentExtensible w16cex:durableId="25B767D7" w16cex:dateUtc="2022-02-16T20:08:00Z"/>
  <w16cex:commentExtensible w16cex:durableId="25B7784C" w16cex:dateUtc="2022-02-16T21:19:00Z"/>
  <w16cex:commentExtensible w16cex:durableId="25B779B4" w16cex:dateUtc="2022-02-16T21:25:00Z"/>
  <w16cex:commentExtensible w16cex:durableId="25B890DF" w16cex:dateUtc="2022-02-17T1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B5A0" w14:textId="77777777" w:rsidR="008D1C4B" w:rsidRDefault="008D1C4B" w:rsidP="00E8547E">
      <w:pPr>
        <w:spacing w:after="0" w:line="240" w:lineRule="auto"/>
      </w:pPr>
      <w:r>
        <w:separator/>
      </w:r>
    </w:p>
  </w:endnote>
  <w:endnote w:type="continuationSeparator" w:id="0">
    <w:p w14:paraId="2C008499" w14:textId="77777777" w:rsidR="008D1C4B" w:rsidRDefault="008D1C4B" w:rsidP="00E8547E">
      <w:pPr>
        <w:spacing w:after="0" w:line="240" w:lineRule="auto"/>
      </w:pPr>
      <w:r>
        <w:continuationSeparator/>
      </w:r>
    </w:p>
  </w:endnote>
  <w:endnote w:type="continuationNotice" w:id="1">
    <w:p w14:paraId="2FBE78B4" w14:textId="77777777" w:rsidR="008D1C4B" w:rsidRDefault="008D1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E4C5" w14:textId="77777777" w:rsidR="00F22F66" w:rsidRDefault="00F22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6470"/>
      <w:docPartObj>
        <w:docPartGallery w:val="Page Numbers (Bottom of Page)"/>
        <w:docPartUnique/>
      </w:docPartObj>
    </w:sdtPr>
    <w:sdtEndPr/>
    <w:sdtContent>
      <w:sdt>
        <w:sdtPr>
          <w:id w:val="1228334799"/>
          <w:docPartObj>
            <w:docPartGallery w:val="Page Numbers (Top of Page)"/>
            <w:docPartUnique/>
          </w:docPartObj>
        </w:sdtPr>
        <w:sdtEndPr/>
        <w:sdtContent>
          <w:p w14:paraId="45F581FF" w14:textId="3C41395A" w:rsidR="003548B9" w:rsidRDefault="003548B9" w:rsidP="006B25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D5D0" w14:textId="77777777" w:rsidR="00F22F66" w:rsidRDefault="00F22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1D14" w14:textId="77777777" w:rsidR="008D1C4B" w:rsidRDefault="008D1C4B" w:rsidP="00E8547E">
      <w:pPr>
        <w:spacing w:after="0" w:line="240" w:lineRule="auto"/>
      </w:pPr>
      <w:r>
        <w:separator/>
      </w:r>
    </w:p>
  </w:footnote>
  <w:footnote w:type="continuationSeparator" w:id="0">
    <w:p w14:paraId="1641393D" w14:textId="77777777" w:rsidR="008D1C4B" w:rsidRDefault="008D1C4B" w:rsidP="00E8547E">
      <w:pPr>
        <w:spacing w:after="0" w:line="240" w:lineRule="auto"/>
      </w:pPr>
      <w:r>
        <w:continuationSeparator/>
      </w:r>
    </w:p>
  </w:footnote>
  <w:footnote w:type="continuationNotice" w:id="1">
    <w:p w14:paraId="57715913" w14:textId="77777777" w:rsidR="008D1C4B" w:rsidRDefault="008D1C4B">
      <w:pPr>
        <w:spacing w:after="0" w:line="240" w:lineRule="auto"/>
      </w:pPr>
    </w:p>
  </w:footnote>
  <w:footnote w:id="2">
    <w:p w14:paraId="49D2324F" w14:textId="09E497C0" w:rsidR="00865416" w:rsidRPr="003678C9" w:rsidRDefault="00865416" w:rsidP="00865416">
      <w:pPr>
        <w:pStyle w:val="FootnoteText"/>
        <w:rPr>
          <w:rFonts w:ascii="Arial" w:hAnsi="Arial" w:cs="Arial"/>
        </w:rPr>
      </w:pPr>
      <w:r w:rsidRPr="003678C9">
        <w:rPr>
          <w:rStyle w:val="FootnoteReference"/>
          <w:rFonts w:ascii="Arial" w:hAnsi="Arial" w:cs="Arial"/>
        </w:rPr>
        <w:footnoteRef/>
      </w:r>
      <w:r w:rsidRPr="003678C9">
        <w:rPr>
          <w:rFonts w:ascii="Arial" w:hAnsi="Arial" w:cs="Arial"/>
        </w:rPr>
        <w:t xml:space="preserve"> </w:t>
      </w:r>
      <w:r w:rsidRPr="003678C9">
        <w:rPr>
          <w:rFonts w:ascii="Arial" w:hAnsi="Arial" w:cs="Arial"/>
          <w:szCs w:val="16"/>
        </w:rPr>
        <w:t>The sample (864 with residential care providers and 75 with home-care providers)</w:t>
      </w:r>
      <w:r>
        <w:rPr>
          <w:rFonts w:ascii="Arial" w:hAnsi="Arial" w:cs="Arial"/>
          <w:szCs w:val="16"/>
        </w:rPr>
        <w:t xml:space="preserve"> is reflective of our inspection priorities during data collection.</w:t>
      </w:r>
      <w:r w:rsidRPr="003678C9">
        <w:rPr>
          <w:rFonts w:ascii="Arial" w:hAnsi="Arial" w:cs="Arial"/>
          <w:szCs w:val="16"/>
        </w:rPr>
        <w:t xml:space="preserve"> </w:t>
      </w:r>
      <w:r>
        <w:rPr>
          <w:rFonts w:ascii="Arial" w:hAnsi="Arial" w:cs="Arial"/>
          <w:szCs w:val="16"/>
        </w:rPr>
        <w:t xml:space="preserve">The </w:t>
      </w:r>
      <w:r w:rsidR="001075BE">
        <w:rPr>
          <w:rFonts w:ascii="Arial" w:hAnsi="Arial" w:cs="Arial"/>
          <w:szCs w:val="16"/>
        </w:rPr>
        <w:t>data may</w:t>
      </w:r>
      <w:r w:rsidR="001075BE" w:rsidRPr="003678C9">
        <w:rPr>
          <w:rFonts w:ascii="Arial" w:hAnsi="Arial" w:cs="Arial"/>
          <w:szCs w:val="16"/>
        </w:rPr>
        <w:t xml:space="preserve"> </w:t>
      </w:r>
      <w:r w:rsidRPr="003678C9">
        <w:rPr>
          <w:rFonts w:ascii="Arial" w:hAnsi="Arial" w:cs="Arial"/>
          <w:szCs w:val="16"/>
        </w:rPr>
        <w:t xml:space="preserve">contain multiple responses from the same </w:t>
      </w:r>
      <w:r w:rsidR="001075BE">
        <w:rPr>
          <w:rFonts w:ascii="Arial" w:hAnsi="Arial" w:cs="Arial"/>
          <w:szCs w:val="16"/>
        </w:rPr>
        <w:t>service</w:t>
      </w:r>
      <w:r w:rsidRPr="003678C9">
        <w:rPr>
          <w:rFonts w:ascii="Arial" w:hAnsi="Arial" w:cs="Arial"/>
          <w:szCs w:val="16"/>
        </w:rPr>
        <w:t>. The figures provided are based on the total number of respondents at each question.</w:t>
      </w:r>
    </w:p>
  </w:footnote>
  <w:footnote w:id="3">
    <w:p w14:paraId="1FE0D479" w14:textId="77777777" w:rsidR="00865416" w:rsidRDefault="00865416" w:rsidP="00865416">
      <w:pPr>
        <w:pStyle w:val="FootnoteText"/>
      </w:pPr>
      <w:r w:rsidRPr="003678C9">
        <w:rPr>
          <w:rStyle w:val="FootnoteReference"/>
          <w:rFonts w:ascii="Arial" w:hAnsi="Arial" w:cs="Arial"/>
        </w:rPr>
        <w:footnoteRef/>
      </w:r>
      <w:r w:rsidRPr="003678C9">
        <w:rPr>
          <w:rFonts w:ascii="Arial" w:hAnsi="Arial" w:cs="Arial"/>
        </w:rPr>
        <w:t xml:space="preserve"> The following information is based on responses from providers of residential care services only because, at the time of this analysis, the sample of data from home-care providers was too small for meaningful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2212" w14:textId="77777777" w:rsidR="00F22F66" w:rsidRDefault="00F22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47DA" w14:textId="52379039" w:rsidR="003548B9" w:rsidRDefault="003548B9" w:rsidP="00E8547E">
    <w:pPr>
      <w:pStyle w:val="Header"/>
      <w:tabs>
        <w:tab w:val="left" w:pos="7200"/>
        <w:tab w:val="right" w:pos="10260"/>
      </w:tabs>
      <w:jc w:val="right"/>
      <w:rPr>
        <w:b/>
        <w:sz w:val="20"/>
        <w:szCs w:val="20"/>
        <w:lang w:val="pt-BR"/>
      </w:rPr>
    </w:pPr>
    <w:r>
      <w:rPr>
        <w:b/>
        <w:sz w:val="20"/>
        <w:szCs w:val="20"/>
        <w:lang w:val="pt-BR"/>
      </w:rPr>
      <w:t xml:space="preserve"> </w:t>
    </w:r>
  </w:p>
  <w:p w14:paraId="1E954459" w14:textId="17FF6F46" w:rsidR="003548B9" w:rsidRDefault="003548B9" w:rsidP="00E8547E">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89FC" w14:textId="77777777" w:rsidR="00F22F66" w:rsidRDefault="00F22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A5A"/>
    <w:multiLevelType w:val="hybridMultilevel"/>
    <w:tmpl w:val="14CC5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F568E"/>
    <w:multiLevelType w:val="hybridMultilevel"/>
    <w:tmpl w:val="B4AE0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84BC4"/>
    <w:multiLevelType w:val="hybridMultilevel"/>
    <w:tmpl w:val="EA50C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3C5684"/>
    <w:multiLevelType w:val="hybridMultilevel"/>
    <w:tmpl w:val="DA267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AA5104"/>
    <w:multiLevelType w:val="hybridMultilevel"/>
    <w:tmpl w:val="A2C01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CA0560"/>
    <w:multiLevelType w:val="hybridMultilevel"/>
    <w:tmpl w:val="AF40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922304"/>
    <w:multiLevelType w:val="hybridMultilevel"/>
    <w:tmpl w:val="3492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BD645B"/>
    <w:multiLevelType w:val="hybridMultilevel"/>
    <w:tmpl w:val="90B8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01ECC"/>
    <w:multiLevelType w:val="hybridMultilevel"/>
    <w:tmpl w:val="50A06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6F3718"/>
    <w:multiLevelType w:val="hybridMultilevel"/>
    <w:tmpl w:val="B5C2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B48C3"/>
    <w:multiLevelType w:val="hybridMultilevel"/>
    <w:tmpl w:val="DA569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251552"/>
    <w:multiLevelType w:val="hybridMultilevel"/>
    <w:tmpl w:val="64A6A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C22134"/>
    <w:multiLevelType w:val="hybridMultilevel"/>
    <w:tmpl w:val="108C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75AF9"/>
    <w:multiLevelType w:val="hybridMultilevel"/>
    <w:tmpl w:val="7FB60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0945FC"/>
    <w:multiLevelType w:val="hybridMultilevel"/>
    <w:tmpl w:val="4E767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4"/>
  </w:num>
  <w:num w:numId="4">
    <w:abstractNumId w:val="3"/>
  </w:num>
  <w:num w:numId="5">
    <w:abstractNumId w:val="7"/>
  </w:num>
  <w:num w:numId="6">
    <w:abstractNumId w:val="6"/>
  </w:num>
  <w:num w:numId="7">
    <w:abstractNumId w:val="1"/>
  </w:num>
  <w:num w:numId="8">
    <w:abstractNumId w:val="10"/>
  </w:num>
  <w:num w:numId="9">
    <w:abstractNumId w:val="9"/>
  </w:num>
  <w:num w:numId="10">
    <w:abstractNumId w:val="5"/>
  </w:num>
  <w:num w:numId="11">
    <w:abstractNumId w:val="14"/>
  </w:num>
  <w:num w:numId="12">
    <w:abstractNumId w:val="0"/>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47E"/>
    <w:rsid w:val="000061BF"/>
    <w:rsid w:val="000066B8"/>
    <w:rsid w:val="000142FA"/>
    <w:rsid w:val="00021604"/>
    <w:rsid w:val="00021B79"/>
    <w:rsid w:val="00031322"/>
    <w:rsid w:val="00031C00"/>
    <w:rsid w:val="000333D6"/>
    <w:rsid w:val="000342F6"/>
    <w:rsid w:val="00035437"/>
    <w:rsid w:val="00035C27"/>
    <w:rsid w:val="00041442"/>
    <w:rsid w:val="00041BF9"/>
    <w:rsid w:val="00042821"/>
    <w:rsid w:val="00044033"/>
    <w:rsid w:val="000451BF"/>
    <w:rsid w:val="00045E9C"/>
    <w:rsid w:val="000539CD"/>
    <w:rsid w:val="0006225F"/>
    <w:rsid w:val="00064F9A"/>
    <w:rsid w:val="00071A6B"/>
    <w:rsid w:val="00073EB9"/>
    <w:rsid w:val="00077A27"/>
    <w:rsid w:val="00080FE2"/>
    <w:rsid w:val="00086ADC"/>
    <w:rsid w:val="00086D86"/>
    <w:rsid w:val="00087CBD"/>
    <w:rsid w:val="000929EA"/>
    <w:rsid w:val="000A188D"/>
    <w:rsid w:val="000A29C1"/>
    <w:rsid w:val="000A5AD4"/>
    <w:rsid w:val="000B379D"/>
    <w:rsid w:val="000C0D04"/>
    <w:rsid w:val="000C5752"/>
    <w:rsid w:val="000C678A"/>
    <w:rsid w:val="000C7437"/>
    <w:rsid w:val="000C7703"/>
    <w:rsid w:val="000D04A3"/>
    <w:rsid w:val="000D1170"/>
    <w:rsid w:val="000D1DFF"/>
    <w:rsid w:val="000D6078"/>
    <w:rsid w:val="000E01CF"/>
    <w:rsid w:val="000F2391"/>
    <w:rsid w:val="000F296B"/>
    <w:rsid w:val="000F5B65"/>
    <w:rsid w:val="000F7339"/>
    <w:rsid w:val="000F7534"/>
    <w:rsid w:val="001075BE"/>
    <w:rsid w:val="00115D4F"/>
    <w:rsid w:val="00117E37"/>
    <w:rsid w:val="00133918"/>
    <w:rsid w:val="001455D2"/>
    <w:rsid w:val="00154BDC"/>
    <w:rsid w:val="00164CF4"/>
    <w:rsid w:val="00165939"/>
    <w:rsid w:val="001666A7"/>
    <w:rsid w:val="00171114"/>
    <w:rsid w:val="001728DE"/>
    <w:rsid w:val="00174A05"/>
    <w:rsid w:val="00174C01"/>
    <w:rsid w:val="00174FD5"/>
    <w:rsid w:val="00181F8B"/>
    <w:rsid w:val="0018620A"/>
    <w:rsid w:val="00191427"/>
    <w:rsid w:val="00193A98"/>
    <w:rsid w:val="001A2E53"/>
    <w:rsid w:val="001A4E2A"/>
    <w:rsid w:val="001A6DA6"/>
    <w:rsid w:val="001B1869"/>
    <w:rsid w:val="001B5D7D"/>
    <w:rsid w:val="001B7895"/>
    <w:rsid w:val="001C0257"/>
    <w:rsid w:val="001C085C"/>
    <w:rsid w:val="001C41E0"/>
    <w:rsid w:val="001C5515"/>
    <w:rsid w:val="001D666E"/>
    <w:rsid w:val="001E1AD7"/>
    <w:rsid w:val="001E75FA"/>
    <w:rsid w:val="001F188E"/>
    <w:rsid w:val="001F5252"/>
    <w:rsid w:val="001F610B"/>
    <w:rsid w:val="001F678C"/>
    <w:rsid w:val="002034C3"/>
    <w:rsid w:val="00203ED5"/>
    <w:rsid w:val="00205796"/>
    <w:rsid w:val="00206AEE"/>
    <w:rsid w:val="00210B07"/>
    <w:rsid w:val="00213954"/>
    <w:rsid w:val="00214570"/>
    <w:rsid w:val="00216CD4"/>
    <w:rsid w:val="00216D94"/>
    <w:rsid w:val="002211DF"/>
    <w:rsid w:val="00222258"/>
    <w:rsid w:val="002329E3"/>
    <w:rsid w:val="00233620"/>
    <w:rsid w:val="00243967"/>
    <w:rsid w:val="0025034B"/>
    <w:rsid w:val="0025479A"/>
    <w:rsid w:val="0025507C"/>
    <w:rsid w:val="0025587B"/>
    <w:rsid w:val="00257E00"/>
    <w:rsid w:val="00264E01"/>
    <w:rsid w:val="0027095B"/>
    <w:rsid w:val="00270C59"/>
    <w:rsid w:val="002717A9"/>
    <w:rsid w:val="00272F05"/>
    <w:rsid w:val="002771CF"/>
    <w:rsid w:val="00280850"/>
    <w:rsid w:val="00282DA2"/>
    <w:rsid w:val="0028313E"/>
    <w:rsid w:val="00283346"/>
    <w:rsid w:val="00286572"/>
    <w:rsid w:val="002877C0"/>
    <w:rsid w:val="002A25A6"/>
    <w:rsid w:val="002A31F5"/>
    <w:rsid w:val="002B30EA"/>
    <w:rsid w:val="002B7DA1"/>
    <w:rsid w:val="002C26EB"/>
    <w:rsid w:val="002D4301"/>
    <w:rsid w:val="002D487B"/>
    <w:rsid w:val="002D49DD"/>
    <w:rsid w:val="002D4D5C"/>
    <w:rsid w:val="002D4E71"/>
    <w:rsid w:val="002D7335"/>
    <w:rsid w:val="002D7D86"/>
    <w:rsid w:val="002E0B4F"/>
    <w:rsid w:val="002E5D43"/>
    <w:rsid w:val="002E74E0"/>
    <w:rsid w:val="002F04DF"/>
    <w:rsid w:val="002F21C8"/>
    <w:rsid w:val="002F28BA"/>
    <w:rsid w:val="002F28CE"/>
    <w:rsid w:val="002F31AB"/>
    <w:rsid w:val="002F42CF"/>
    <w:rsid w:val="002F48DE"/>
    <w:rsid w:val="002F6AB4"/>
    <w:rsid w:val="002F6F69"/>
    <w:rsid w:val="00301E8F"/>
    <w:rsid w:val="0030334A"/>
    <w:rsid w:val="003035E2"/>
    <w:rsid w:val="00304CD8"/>
    <w:rsid w:val="003101AD"/>
    <w:rsid w:val="00312698"/>
    <w:rsid w:val="00314FB1"/>
    <w:rsid w:val="00323C45"/>
    <w:rsid w:val="00323E1C"/>
    <w:rsid w:val="00324374"/>
    <w:rsid w:val="00325E8A"/>
    <w:rsid w:val="003323E2"/>
    <w:rsid w:val="003330F0"/>
    <w:rsid w:val="00337C07"/>
    <w:rsid w:val="00340170"/>
    <w:rsid w:val="0034550F"/>
    <w:rsid w:val="00350894"/>
    <w:rsid w:val="00350A3B"/>
    <w:rsid w:val="003548B9"/>
    <w:rsid w:val="00355F63"/>
    <w:rsid w:val="00360E2B"/>
    <w:rsid w:val="00361F11"/>
    <w:rsid w:val="00363471"/>
    <w:rsid w:val="00363A38"/>
    <w:rsid w:val="003654C8"/>
    <w:rsid w:val="003657F5"/>
    <w:rsid w:val="00367E80"/>
    <w:rsid w:val="003732CC"/>
    <w:rsid w:val="00380684"/>
    <w:rsid w:val="0038533F"/>
    <w:rsid w:val="0039414A"/>
    <w:rsid w:val="003A4EE9"/>
    <w:rsid w:val="003A56E3"/>
    <w:rsid w:val="003A62C3"/>
    <w:rsid w:val="003B4D32"/>
    <w:rsid w:val="003C0445"/>
    <w:rsid w:val="003C36DC"/>
    <w:rsid w:val="003C3DD8"/>
    <w:rsid w:val="003C6A0A"/>
    <w:rsid w:val="003C7BF2"/>
    <w:rsid w:val="003D0E0A"/>
    <w:rsid w:val="003D3950"/>
    <w:rsid w:val="003D4753"/>
    <w:rsid w:val="003D551A"/>
    <w:rsid w:val="003D651F"/>
    <w:rsid w:val="003E7D57"/>
    <w:rsid w:val="003F0A37"/>
    <w:rsid w:val="003F2CC1"/>
    <w:rsid w:val="003F5085"/>
    <w:rsid w:val="003F5CB4"/>
    <w:rsid w:val="0040075C"/>
    <w:rsid w:val="00401241"/>
    <w:rsid w:val="00410E7F"/>
    <w:rsid w:val="00414C29"/>
    <w:rsid w:val="00416B22"/>
    <w:rsid w:val="0042204A"/>
    <w:rsid w:val="004220AE"/>
    <w:rsid w:val="00426807"/>
    <w:rsid w:val="0042782D"/>
    <w:rsid w:val="004330F5"/>
    <w:rsid w:val="00436E0F"/>
    <w:rsid w:val="00437417"/>
    <w:rsid w:val="00440F5B"/>
    <w:rsid w:val="00441632"/>
    <w:rsid w:val="00445C25"/>
    <w:rsid w:val="00447499"/>
    <w:rsid w:val="004515CB"/>
    <w:rsid w:val="00451869"/>
    <w:rsid w:val="00454484"/>
    <w:rsid w:val="00456E3D"/>
    <w:rsid w:val="004577E7"/>
    <w:rsid w:val="004637EE"/>
    <w:rsid w:val="00465648"/>
    <w:rsid w:val="00470A1E"/>
    <w:rsid w:val="004746A0"/>
    <w:rsid w:val="004747C2"/>
    <w:rsid w:val="00481953"/>
    <w:rsid w:val="00486043"/>
    <w:rsid w:val="00486D64"/>
    <w:rsid w:val="00487479"/>
    <w:rsid w:val="004950E7"/>
    <w:rsid w:val="004955E1"/>
    <w:rsid w:val="004A116C"/>
    <w:rsid w:val="004A78E8"/>
    <w:rsid w:val="004B28A6"/>
    <w:rsid w:val="004B34D7"/>
    <w:rsid w:val="004C7677"/>
    <w:rsid w:val="004C7ECB"/>
    <w:rsid w:val="004D0E50"/>
    <w:rsid w:val="004D5BF6"/>
    <w:rsid w:val="004D77C2"/>
    <w:rsid w:val="004E154F"/>
    <w:rsid w:val="004E6213"/>
    <w:rsid w:val="004F2703"/>
    <w:rsid w:val="0050295C"/>
    <w:rsid w:val="005036AE"/>
    <w:rsid w:val="00505C3B"/>
    <w:rsid w:val="0051107A"/>
    <w:rsid w:val="005113A6"/>
    <w:rsid w:val="00517E41"/>
    <w:rsid w:val="0052299E"/>
    <w:rsid w:val="005257C7"/>
    <w:rsid w:val="005318EC"/>
    <w:rsid w:val="00531F16"/>
    <w:rsid w:val="00540360"/>
    <w:rsid w:val="00543B2F"/>
    <w:rsid w:val="0054716A"/>
    <w:rsid w:val="00550D99"/>
    <w:rsid w:val="005527A9"/>
    <w:rsid w:val="00553046"/>
    <w:rsid w:val="005533AE"/>
    <w:rsid w:val="00556632"/>
    <w:rsid w:val="005575E2"/>
    <w:rsid w:val="005610F3"/>
    <w:rsid w:val="00567EEC"/>
    <w:rsid w:val="00574070"/>
    <w:rsid w:val="00580CEB"/>
    <w:rsid w:val="00580DDD"/>
    <w:rsid w:val="00586025"/>
    <w:rsid w:val="005860FB"/>
    <w:rsid w:val="00591020"/>
    <w:rsid w:val="005926FF"/>
    <w:rsid w:val="00597F92"/>
    <w:rsid w:val="005A02A9"/>
    <w:rsid w:val="005A4F6E"/>
    <w:rsid w:val="005B1FBD"/>
    <w:rsid w:val="005B2316"/>
    <w:rsid w:val="005B36BD"/>
    <w:rsid w:val="005B4328"/>
    <w:rsid w:val="005B62C0"/>
    <w:rsid w:val="005C0272"/>
    <w:rsid w:val="005C2842"/>
    <w:rsid w:val="005C349C"/>
    <w:rsid w:val="005D19B0"/>
    <w:rsid w:val="005D534A"/>
    <w:rsid w:val="005E488F"/>
    <w:rsid w:val="005E613B"/>
    <w:rsid w:val="005F12A5"/>
    <w:rsid w:val="005F2A5D"/>
    <w:rsid w:val="005F2A66"/>
    <w:rsid w:val="005F3A8E"/>
    <w:rsid w:val="005F66F2"/>
    <w:rsid w:val="005F7D14"/>
    <w:rsid w:val="006011B5"/>
    <w:rsid w:val="006054CC"/>
    <w:rsid w:val="00606096"/>
    <w:rsid w:val="0062260C"/>
    <w:rsid w:val="00636DDC"/>
    <w:rsid w:val="00637E16"/>
    <w:rsid w:val="0064190C"/>
    <w:rsid w:val="00641A6C"/>
    <w:rsid w:val="00650157"/>
    <w:rsid w:val="00656896"/>
    <w:rsid w:val="00660A04"/>
    <w:rsid w:val="00664AFD"/>
    <w:rsid w:val="00664CBF"/>
    <w:rsid w:val="00664F3C"/>
    <w:rsid w:val="00674BA2"/>
    <w:rsid w:val="00681D07"/>
    <w:rsid w:val="00683111"/>
    <w:rsid w:val="00694C6D"/>
    <w:rsid w:val="00696E15"/>
    <w:rsid w:val="006A3407"/>
    <w:rsid w:val="006A7F19"/>
    <w:rsid w:val="006B0C29"/>
    <w:rsid w:val="006B1537"/>
    <w:rsid w:val="006B253F"/>
    <w:rsid w:val="006B4BF6"/>
    <w:rsid w:val="006B4C0A"/>
    <w:rsid w:val="006B5650"/>
    <w:rsid w:val="006C5FBD"/>
    <w:rsid w:val="006C6E79"/>
    <w:rsid w:val="006C711C"/>
    <w:rsid w:val="006D6D8C"/>
    <w:rsid w:val="006D7CE7"/>
    <w:rsid w:val="006E092C"/>
    <w:rsid w:val="006E4863"/>
    <w:rsid w:val="006E4B1C"/>
    <w:rsid w:val="006E65B8"/>
    <w:rsid w:val="006E7451"/>
    <w:rsid w:val="006E761E"/>
    <w:rsid w:val="006F0E51"/>
    <w:rsid w:val="006F1F6F"/>
    <w:rsid w:val="006F3A13"/>
    <w:rsid w:val="006F4EC6"/>
    <w:rsid w:val="006F7956"/>
    <w:rsid w:val="00702570"/>
    <w:rsid w:val="0070495A"/>
    <w:rsid w:val="00710786"/>
    <w:rsid w:val="00710B13"/>
    <w:rsid w:val="0071189D"/>
    <w:rsid w:val="00711A7E"/>
    <w:rsid w:val="007151CF"/>
    <w:rsid w:val="007162A8"/>
    <w:rsid w:val="00720945"/>
    <w:rsid w:val="00720DA1"/>
    <w:rsid w:val="00722ABE"/>
    <w:rsid w:val="00723D64"/>
    <w:rsid w:val="0073030C"/>
    <w:rsid w:val="00741775"/>
    <w:rsid w:val="00742FE5"/>
    <w:rsid w:val="0074659A"/>
    <w:rsid w:val="00746700"/>
    <w:rsid w:val="00747BF0"/>
    <w:rsid w:val="0075605D"/>
    <w:rsid w:val="007601E5"/>
    <w:rsid w:val="007619DE"/>
    <w:rsid w:val="0076279E"/>
    <w:rsid w:val="0076414E"/>
    <w:rsid w:val="007738A5"/>
    <w:rsid w:val="00775403"/>
    <w:rsid w:val="00775EE2"/>
    <w:rsid w:val="00780728"/>
    <w:rsid w:val="007816BF"/>
    <w:rsid w:val="00796795"/>
    <w:rsid w:val="007A0056"/>
    <w:rsid w:val="007A26EF"/>
    <w:rsid w:val="007A7561"/>
    <w:rsid w:val="007A7822"/>
    <w:rsid w:val="007B0B37"/>
    <w:rsid w:val="007B4FA5"/>
    <w:rsid w:val="007B6BC9"/>
    <w:rsid w:val="007C4EE3"/>
    <w:rsid w:val="007D0EF2"/>
    <w:rsid w:val="007D4CD1"/>
    <w:rsid w:val="007D5C96"/>
    <w:rsid w:val="007E16CF"/>
    <w:rsid w:val="007E1905"/>
    <w:rsid w:val="007E20B6"/>
    <w:rsid w:val="007E38D0"/>
    <w:rsid w:val="007E64CD"/>
    <w:rsid w:val="007E72AE"/>
    <w:rsid w:val="007E7825"/>
    <w:rsid w:val="007E78B9"/>
    <w:rsid w:val="007E7D6C"/>
    <w:rsid w:val="007F1C5B"/>
    <w:rsid w:val="007F2ED1"/>
    <w:rsid w:val="007F4AD0"/>
    <w:rsid w:val="007F4C19"/>
    <w:rsid w:val="00802DAE"/>
    <w:rsid w:val="0081204C"/>
    <w:rsid w:val="00815C16"/>
    <w:rsid w:val="008222FA"/>
    <w:rsid w:val="0082369D"/>
    <w:rsid w:val="0082459A"/>
    <w:rsid w:val="0083029E"/>
    <w:rsid w:val="00832EDE"/>
    <w:rsid w:val="00834F8C"/>
    <w:rsid w:val="008418FD"/>
    <w:rsid w:val="00853000"/>
    <w:rsid w:val="008543F7"/>
    <w:rsid w:val="008545A6"/>
    <w:rsid w:val="008556F8"/>
    <w:rsid w:val="00857A82"/>
    <w:rsid w:val="0086384B"/>
    <w:rsid w:val="00865416"/>
    <w:rsid w:val="00865877"/>
    <w:rsid w:val="00866A11"/>
    <w:rsid w:val="00866C86"/>
    <w:rsid w:val="008726BA"/>
    <w:rsid w:val="0087314A"/>
    <w:rsid w:val="00873D73"/>
    <w:rsid w:val="00874C40"/>
    <w:rsid w:val="008804F4"/>
    <w:rsid w:val="00881880"/>
    <w:rsid w:val="00885245"/>
    <w:rsid w:val="0088653B"/>
    <w:rsid w:val="00887B8C"/>
    <w:rsid w:val="008930B8"/>
    <w:rsid w:val="00895446"/>
    <w:rsid w:val="00897DD1"/>
    <w:rsid w:val="00897E5D"/>
    <w:rsid w:val="00897FBC"/>
    <w:rsid w:val="008A01A6"/>
    <w:rsid w:val="008B4377"/>
    <w:rsid w:val="008B4950"/>
    <w:rsid w:val="008B5DB7"/>
    <w:rsid w:val="008C120B"/>
    <w:rsid w:val="008C2887"/>
    <w:rsid w:val="008C481C"/>
    <w:rsid w:val="008C53DA"/>
    <w:rsid w:val="008C7126"/>
    <w:rsid w:val="008C7691"/>
    <w:rsid w:val="008D1C4B"/>
    <w:rsid w:val="008D1C4C"/>
    <w:rsid w:val="008E0927"/>
    <w:rsid w:val="008E2674"/>
    <w:rsid w:val="008E3C24"/>
    <w:rsid w:val="008E4B26"/>
    <w:rsid w:val="008E67F0"/>
    <w:rsid w:val="008E7B67"/>
    <w:rsid w:val="008F0E41"/>
    <w:rsid w:val="008F47F6"/>
    <w:rsid w:val="0090098F"/>
    <w:rsid w:val="00907754"/>
    <w:rsid w:val="00912F55"/>
    <w:rsid w:val="00913CEB"/>
    <w:rsid w:val="0091529D"/>
    <w:rsid w:val="009178B0"/>
    <w:rsid w:val="00917C74"/>
    <w:rsid w:val="00922F4F"/>
    <w:rsid w:val="0092573F"/>
    <w:rsid w:val="00930E32"/>
    <w:rsid w:val="00937F93"/>
    <w:rsid w:val="009403C8"/>
    <w:rsid w:val="009614B3"/>
    <w:rsid w:val="00961D29"/>
    <w:rsid w:val="00966AD2"/>
    <w:rsid w:val="0097206D"/>
    <w:rsid w:val="009737BD"/>
    <w:rsid w:val="00975CA4"/>
    <w:rsid w:val="009769C9"/>
    <w:rsid w:val="00981A58"/>
    <w:rsid w:val="009855A5"/>
    <w:rsid w:val="00994218"/>
    <w:rsid w:val="00994D34"/>
    <w:rsid w:val="00996F16"/>
    <w:rsid w:val="009A0816"/>
    <w:rsid w:val="009A2955"/>
    <w:rsid w:val="009A35EE"/>
    <w:rsid w:val="009A422F"/>
    <w:rsid w:val="009A4E8E"/>
    <w:rsid w:val="009B2C77"/>
    <w:rsid w:val="009B4B54"/>
    <w:rsid w:val="009B5CA7"/>
    <w:rsid w:val="009B66CB"/>
    <w:rsid w:val="009C0CBE"/>
    <w:rsid w:val="009C1C6F"/>
    <w:rsid w:val="009C5259"/>
    <w:rsid w:val="009C6362"/>
    <w:rsid w:val="009D0DAC"/>
    <w:rsid w:val="009D15DB"/>
    <w:rsid w:val="009D65F5"/>
    <w:rsid w:val="009E4D55"/>
    <w:rsid w:val="009E6EE9"/>
    <w:rsid w:val="009F0A8B"/>
    <w:rsid w:val="009F2CDC"/>
    <w:rsid w:val="009F5510"/>
    <w:rsid w:val="009F7E01"/>
    <w:rsid w:val="00A00181"/>
    <w:rsid w:val="00A00857"/>
    <w:rsid w:val="00A02CEA"/>
    <w:rsid w:val="00A03A97"/>
    <w:rsid w:val="00A10222"/>
    <w:rsid w:val="00A10467"/>
    <w:rsid w:val="00A117F8"/>
    <w:rsid w:val="00A141DC"/>
    <w:rsid w:val="00A20D58"/>
    <w:rsid w:val="00A228E2"/>
    <w:rsid w:val="00A22A16"/>
    <w:rsid w:val="00A237E4"/>
    <w:rsid w:val="00A24FC9"/>
    <w:rsid w:val="00A26D3B"/>
    <w:rsid w:val="00A32ED3"/>
    <w:rsid w:val="00A43E57"/>
    <w:rsid w:val="00A4431A"/>
    <w:rsid w:val="00A46598"/>
    <w:rsid w:val="00A46C59"/>
    <w:rsid w:val="00A47CA8"/>
    <w:rsid w:val="00A52965"/>
    <w:rsid w:val="00A53951"/>
    <w:rsid w:val="00A539FC"/>
    <w:rsid w:val="00A60DAC"/>
    <w:rsid w:val="00A6233D"/>
    <w:rsid w:val="00A70033"/>
    <w:rsid w:val="00A70490"/>
    <w:rsid w:val="00A77118"/>
    <w:rsid w:val="00A836C5"/>
    <w:rsid w:val="00A83C02"/>
    <w:rsid w:val="00A83F5D"/>
    <w:rsid w:val="00A84BC9"/>
    <w:rsid w:val="00A86FD9"/>
    <w:rsid w:val="00A87EFD"/>
    <w:rsid w:val="00A911DB"/>
    <w:rsid w:val="00A93DB8"/>
    <w:rsid w:val="00AA0FBF"/>
    <w:rsid w:val="00AB686E"/>
    <w:rsid w:val="00AC1CA0"/>
    <w:rsid w:val="00AC3E27"/>
    <w:rsid w:val="00AC42FB"/>
    <w:rsid w:val="00AC4739"/>
    <w:rsid w:val="00AD0BEA"/>
    <w:rsid w:val="00AD5F40"/>
    <w:rsid w:val="00AE37A9"/>
    <w:rsid w:val="00AF0E38"/>
    <w:rsid w:val="00AF1980"/>
    <w:rsid w:val="00B061F6"/>
    <w:rsid w:val="00B07524"/>
    <w:rsid w:val="00B106A9"/>
    <w:rsid w:val="00B107C3"/>
    <w:rsid w:val="00B12713"/>
    <w:rsid w:val="00B12F4E"/>
    <w:rsid w:val="00B12FAA"/>
    <w:rsid w:val="00B17F60"/>
    <w:rsid w:val="00B201B5"/>
    <w:rsid w:val="00B20E1A"/>
    <w:rsid w:val="00B23338"/>
    <w:rsid w:val="00B25027"/>
    <w:rsid w:val="00B258F9"/>
    <w:rsid w:val="00B30924"/>
    <w:rsid w:val="00B30C0D"/>
    <w:rsid w:val="00B34975"/>
    <w:rsid w:val="00B372F1"/>
    <w:rsid w:val="00B37574"/>
    <w:rsid w:val="00B41816"/>
    <w:rsid w:val="00B4634B"/>
    <w:rsid w:val="00B463F5"/>
    <w:rsid w:val="00B472CA"/>
    <w:rsid w:val="00B502E8"/>
    <w:rsid w:val="00B5127D"/>
    <w:rsid w:val="00B51649"/>
    <w:rsid w:val="00B70034"/>
    <w:rsid w:val="00B72271"/>
    <w:rsid w:val="00B75061"/>
    <w:rsid w:val="00B7565B"/>
    <w:rsid w:val="00B8027A"/>
    <w:rsid w:val="00B81546"/>
    <w:rsid w:val="00B8200C"/>
    <w:rsid w:val="00BA0596"/>
    <w:rsid w:val="00BA7949"/>
    <w:rsid w:val="00BB3432"/>
    <w:rsid w:val="00BB382A"/>
    <w:rsid w:val="00BB3908"/>
    <w:rsid w:val="00BB4B41"/>
    <w:rsid w:val="00BB65A6"/>
    <w:rsid w:val="00BB72AD"/>
    <w:rsid w:val="00BB75D0"/>
    <w:rsid w:val="00BB7C82"/>
    <w:rsid w:val="00BC0EB5"/>
    <w:rsid w:val="00BC6D47"/>
    <w:rsid w:val="00BC6F6B"/>
    <w:rsid w:val="00BD0AB2"/>
    <w:rsid w:val="00BD5724"/>
    <w:rsid w:val="00BD6703"/>
    <w:rsid w:val="00BE2806"/>
    <w:rsid w:val="00BE3FE4"/>
    <w:rsid w:val="00BE48C7"/>
    <w:rsid w:val="00BE6CF6"/>
    <w:rsid w:val="00BF759C"/>
    <w:rsid w:val="00BF7892"/>
    <w:rsid w:val="00C0022C"/>
    <w:rsid w:val="00C03CBA"/>
    <w:rsid w:val="00C078C5"/>
    <w:rsid w:val="00C113C1"/>
    <w:rsid w:val="00C11FA7"/>
    <w:rsid w:val="00C14886"/>
    <w:rsid w:val="00C17938"/>
    <w:rsid w:val="00C2187B"/>
    <w:rsid w:val="00C2389B"/>
    <w:rsid w:val="00C24A1F"/>
    <w:rsid w:val="00C24D37"/>
    <w:rsid w:val="00C24ECC"/>
    <w:rsid w:val="00C36F07"/>
    <w:rsid w:val="00C40785"/>
    <w:rsid w:val="00C4144D"/>
    <w:rsid w:val="00C4272D"/>
    <w:rsid w:val="00C43B42"/>
    <w:rsid w:val="00C471FD"/>
    <w:rsid w:val="00C506D5"/>
    <w:rsid w:val="00C515B6"/>
    <w:rsid w:val="00C52EC6"/>
    <w:rsid w:val="00C5697A"/>
    <w:rsid w:val="00C67777"/>
    <w:rsid w:val="00C70208"/>
    <w:rsid w:val="00C70992"/>
    <w:rsid w:val="00C74057"/>
    <w:rsid w:val="00C80E79"/>
    <w:rsid w:val="00C81606"/>
    <w:rsid w:val="00C866F6"/>
    <w:rsid w:val="00C97C9E"/>
    <w:rsid w:val="00CA2B89"/>
    <w:rsid w:val="00CA4D9D"/>
    <w:rsid w:val="00CA7A41"/>
    <w:rsid w:val="00CC281F"/>
    <w:rsid w:val="00CC4378"/>
    <w:rsid w:val="00CC6CBE"/>
    <w:rsid w:val="00CC6CF1"/>
    <w:rsid w:val="00CD1DAD"/>
    <w:rsid w:val="00CD32F2"/>
    <w:rsid w:val="00CE1795"/>
    <w:rsid w:val="00CE2793"/>
    <w:rsid w:val="00CE2DD0"/>
    <w:rsid w:val="00CE2F2C"/>
    <w:rsid w:val="00CE762B"/>
    <w:rsid w:val="00CF3CC7"/>
    <w:rsid w:val="00D05AFF"/>
    <w:rsid w:val="00D074B8"/>
    <w:rsid w:val="00D10411"/>
    <w:rsid w:val="00D11DBE"/>
    <w:rsid w:val="00D12BF1"/>
    <w:rsid w:val="00D13394"/>
    <w:rsid w:val="00D1681A"/>
    <w:rsid w:val="00D215F2"/>
    <w:rsid w:val="00D22E84"/>
    <w:rsid w:val="00D322A1"/>
    <w:rsid w:val="00D33652"/>
    <w:rsid w:val="00D33CED"/>
    <w:rsid w:val="00D409BE"/>
    <w:rsid w:val="00D467CE"/>
    <w:rsid w:val="00D50949"/>
    <w:rsid w:val="00D55E3F"/>
    <w:rsid w:val="00D62224"/>
    <w:rsid w:val="00D6252F"/>
    <w:rsid w:val="00D63173"/>
    <w:rsid w:val="00D63809"/>
    <w:rsid w:val="00D647E5"/>
    <w:rsid w:val="00D64CE2"/>
    <w:rsid w:val="00D66AA0"/>
    <w:rsid w:val="00D6757E"/>
    <w:rsid w:val="00D71568"/>
    <w:rsid w:val="00D718A7"/>
    <w:rsid w:val="00D77688"/>
    <w:rsid w:val="00D81CCE"/>
    <w:rsid w:val="00D85B9A"/>
    <w:rsid w:val="00D86984"/>
    <w:rsid w:val="00D86AC1"/>
    <w:rsid w:val="00D876CF"/>
    <w:rsid w:val="00D90239"/>
    <w:rsid w:val="00D92E18"/>
    <w:rsid w:val="00D936F6"/>
    <w:rsid w:val="00D96964"/>
    <w:rsid w:val="00DA4A9E"/>
    <w:rsid w:val="00DB094E"/>
    <w:rsid w:val="00DB0A28"/>
    <w:rsid w:val="00DB2EF9"/>
    <w:rsid w:val="00DB7895"/>
    <w:rsid w:val="00DB7B24"/>
    <w:rsid w:val="00DC0327"/>
    <w:rsid w:val="00DC1FCF"/>
    <w:rsid w:val="00DD1B09"/>
    <w:rsid w:val="00DD6729"/>
    <w:rsid w:val="00DE1528"/>
    <w:rsid w:val="00DE1CCD"/>
    <w:rsid w:val="00DE25CC"/>
    <w:rsid w:val="00DE795B"/>
    <w:rsid w:val="00DF0F63"/>
    <w:rsid w:val="00DF2E95"/>
    <w:rsid w:val="00DF2F55"/>
    <w:rsid w:val="00DF3A52"/>
    <w:rsid w:val="00DF3D65"/>
    <w:rsid w:val="00DF471D"/>
    <w:rsid w:val="00E02E56"/>
    <w:rsid w:val="00E03F19"/>
    <w:rsid w:val="00E052A9"/>
    <w:rsid w:val="00E05A72"/>
    <w:rsid w:val="00E20127"/>
    <w:rsid w:val="00E247D1"/>
    <w:rsid w:val="00E27EB1"/>
    <w:rsid w:val="00E314BC"/>
    <w:rsid w:val="00E36610"/>
    <w:rsid w:val="00E42A5E"/>
    <w:rsid w:val="00E43404"/>
    <w:rsid w:val="00E43886"/>
    <w:rsid w:val="00E44AE9"/>
    <w:rsid w:val="00E50F93"/>
    <w:rsid w:val="00E522DA"/>
    <w:rsid w:val="00E64320"/>
    <w:rsid w:val="00E6692F"/>
    <w:rsid w:val="00E700D7"/>
    <w:rsid w:val="00E80F7A"/>
    <w:rsid w:val="00E8547E"/>
    <w:rsid w:val="00E87786"/>
    <w:rsid w:val="00E96168"/>
    <w:rsid w:val="00EA17C6"/>
    <w:rsid w:val="00EA204F"/>
    <w:rsid w:val="00EA5588"/>
    <w:rsid w:val="00EA6DC8"/>
    <w:rsid w:val="00EA7960"/>
    <w:rsid w:val="00EB0DAC"/>
    <w:rsid w:val="00EB326D"/>
    <w:rsid w:val="00EB413D"/>
    <w:rsid w:val="00EB4155"/>
    <w:rsid w:val="00EB7EEA"/>
    <w:rsid w:val="00EC1581"/>
    <w:rsid w:val="00EC5238"/>
    <w:rsid w:val="00EC5F82"/>
    <w:rsid w:val="00ED08EE"/>
    <w:rsid w:val="00ED0E10"/>
    <w:rsid w:val="00ED1F79"/>
    <w:rsid w:val="00ED372E"/>
    <w:rsid w:val="00ED39AD"/>
    <w:rsid w:val="00EF2B8B"/>
    <w:rsid w:val="00EF3AC5"/>
    <w:rsid w:val="00EF3E38"/>
    <w:rsid w:val="00F01C8A"/>
    <w:rsid w:val="00F034E2"/>
    <w:rsid w:val="00F072B2"/>
    <w:rsid w:val="00F158EA"/>
    <w:rsid w:val="00F162ED"/>
    <w:rsid w:val="00F217F1"/>
    <w:rsid w:val="00F219A2"/>
    <w:rsid w:val="00F21B8E"/>
    <w:rsid w:val="00F22F66"/>
    <w:rsid w:val="00F24BF6"/>
    <w:rsid w:val="00F27293"/>
    <w:rsid w:val="00F307AD"/>
    <w:rsid w:val="00F322E4"/>
    <w:rsid w:val="00F323AB"/>
    <w:rsid w:val="00F355BC"/>
    <w:rsid w:val="00F37E3F"/>
    <w:rsid w:val="00F52DD4"/>
    <w:rsid w:val="00F5365B"/>
    <w:rsid w:val="00F53BEF"/>
    <w:rsid w:val="00F56783"/>
    <w:rsid w:val="00F61AC3"/>
    <w:rsid w:val="00F623C8"/>
    <w:rsid w:val="00F63264"/>
    <w:rsid w:val="00F64E66"/>
    <w:rsid w:val="00F736EA"/>
    <w:rsid w:val="00F75E85"/>
    <w:rsid w:val="00F82C1C"/>
    <w:rsid w:val="00F940A8"/>
    <w:rsid w:val="00F9527A"/>
    <w:rsid w:val="00FA1ACD"/>
    <w:rsid w:val="00FA5BF9"/>
    <w:rsid w:val="00FA5E10"/>
    <w:rsid w:val="00FA6D9E"/>
    <w:rsid w:val="00FB1E55"/>
    <w:rsid w:val="00FB690F"/>
    <w:rsid w:val="00FB7601"/>
    <w:rsid w:val="00FC2C40"/>
    <w:rsid w:val="00FC57CB"/>
    <w:rsid w:val="00FC636F"/>
    <w:rsid w:val="00FD4274"/>
    <w:rsid w:val="00FD53E4"/>
    <w:rsid w:val="00FE3B68"/>
    <w:rsid w:val="00FE4F5C"/>
    <w:rsid w:val="00FE5CCF"/>
    <w:rsid w:val="00FF3679"/>
    <w:rsid w:val="00FF49E4"/>
    <w:rsid w:val="04945153"/>
    <w:rsid w:val="0CBDE86A"/>
    <w:rsid w:val="0FD295EF"/>
    <w:rsid w:val="126380D2"/>
    <w:rsid w:val="25A12744"/>
    <w:rsid w:val="28A049A5"/>
    <w:rsid w:val="3A11D7DA"/>
    <w:rsid w:val="521DF970"/>
    <w:rsid w:val="523A6397"/>
    <w:rsid w:val="533165FB"/>
    <w:rsid w:val="54867099"/>
    <w:rsid w:val="569D048C"/>
    <w:rsid w:val="57224B83"/>
    <w:rsid w:val="5DA8E4D0"/>
    <w:rsid w:val="612C1901"/>
    <w:rsid w:val="62D03617"/>
    <w:rsid w:val="65E39198"/>
    <w:rsid w:val="6813FBD6"/>
    <w:rsid w:val="6AF13CED"/>
    <w:rsid w:val="7B986754"/>
    <w:rsid w:val="7CF24DAC"/>
    <w:rsid w:val="7D1C75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905DF"/>
  <w15:docId w15:val="{EE99C612-3235-4E62-9CBA-1FC1CC4C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80"/>
  </w:style>
  <w:style w:type="paragraph" w:styleId="Heading1">
    <w:name w:val="heading 1"/>
    <w:basedOn w:val="Normal"/>
    <w:next w:val="Normal"/>
    <w:link w:val="Heading1Char"/>
    <w:uiPriority w:val="9"/>
    <w:qFormat/>
    <w:rsid w:val="007807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422F"/>
    <w:pPr>
      <w:tabs>
        <w:tab w:val="left" w:pos="1620"/>
      </w:tabs>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47E"/>
  </w:style>
  <w:style w:type="paragraph" w:styleId="Footer">
    <w:name w:val="footer"/>
    <w:basedOn w:val="Normal"/>
    <w:link w:val="FooterChar"/>
    <w:uiPriority w:val="99"/>
    <w:unhideWhenUsed/>
    <w:rsid w:val="00E8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7E"/>
  </w:style>
  <w:style w:type="table" w:styleId="TableGrid">
    <w:name w:val="Table Grid"/>
    <w:basedOn w:val="TableNormal"/>
    <w:uiPriority w:val="59"/>
    <w:rsid w:val="00E8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47E"/>
    <w:pPr>
      <w:ind w:left="720"/>
      <w:contextualSpacing/>
    </w:pPr>
  </w:style>
  <w:style w:type="paragraph" w:styleId="BalloonText">
    <w:name w:val="Balloon Text"/>
    <w:basedOn w:val="Normal"/>
    <w:link w:val="BalloonTextChar"/>
    <w:uiPriority w:val="99"/>
    <w:semiHidden/>
    <w:unhideWhenUsed/>
    <w:rsid w:val="00EB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55"/>
    <w:rPr>
      <w:rFonts w:ascii="Tahoma" w:hAnsi="Tahoma" w:cs="Tahoma"/>
      <w:sz w:val="16"/>
      <w:szCs w:val="16"/>
    </w:rPr>
  </w:style>
  <w:style w:type="character" w:styleId="CommentReference">
    <w:name w:val="annotation reference"/>
    <w:basedOn w:val="DefaultParagraphFont"/>
    <w:uiPriority w:val="99"/>
    <w:semiHidden/>
    <w:unhideWhenUsed/>
    <w:rsid w:val="004577E7"/>
    <w:rPr>
      <w:sz w:val="16"/>
      <w:szCs w:val="16"/>
    </w:rPr>
  </w:style>
  <w:style w:type="paragraph" w:styleId="CommentText">
    <w:name w:val="annotation text"/>
    <w:basedOn w:val="Normal"/>
    <w:link w:val="CommentTextChar"/>
    <w:uiPriority w:val="99"/>
    <w:semiHidden/>
    <w:unhideWhenUsed/>
    <w:rsid w:val="004577E7"/>
    <w:pPr>
      <w:spacing w:line="240" w:lineRule="auto"/>
    </w:pPr>
    <w:rPr>
      <w:sz w:val="20"/>
      <w:szCs w:val="20"/>
    </w:rPr>
  </w:style>
  <w:style w:type="character" w:customStyle="1" w:styleId="CommentTextChar">
    <w:name w:val="Comment Text Char"/>
    <w:basedOn w:val="DefaultParagraphFont"/>
    <w:link w:val="CommentText"/>
    <w:uiPriority w:val="99"/>
    <w:semiHidden/>
    <w:rsid w:val="004577E7"/>
    <w:rPr>
      <w:sz w:val="20"/>
      <w:szCs w:val="20"/>
    </w:rPr>
  </w:style>
  <w:style w:type="paragraph" w:styleId="CommentSubject">
    <w:name w:val="annotation subject"/>
    <w:basedOn w:val="CommentText"/>
    <w:next w:val="CommentText"/>
    <w:link w:val="CommentSubjectChar"/>
    <w:uiPriority w:val="99"/>
    <w:semiHidden/>
    <w:unhideWhenUsed/>
    <w:rsid w:val="004577E7"/>
    <w:rPr>
      <w:b/>
      <w:bCs/>
    </w:rPr>
  </w:style>
  <w:style w:type="character" w:customStyle="1" w:styleId="CommentSubjectChar">
    <w:name w:val="Comment Subject Char"/>
    <w:basedOn w:val="CommentTextChar"/>
    <w:link w:val="CommentSubject"/>
    <w:uiPriority w:val="99"/>
    <w:semiHidden/>
    <w:rsid w:val="004577E7"/>
    <w:rPr>
      <w:b/>
      <w:bCs/>
      <w:sz w:val="20"/>
      <w:szCs w:val="20"/>
    </w:rPr>
  </w:style>
  <w:style w:type="character" w:styleId="Hyperlink">
    <w:name w:val="Hyperlink"/>
    <w:basedOn w:val="DefaultParagraphFont"/>
    <w:uiPriority w:val="99"/>
    <w:unhideWhenUsed/>
    <w:rsid w:val="00181F8B"/>
    <w:rPr>
      <w:color w:val="0000FF" w:themeColor="hyperlink"/>
      <w:u w:val="single"/>
    </w:rPr>
  </w:style>
  <w:style w:type="character" w:styleId="UnresolvedMention">
    <w:name w:val="Unresolved Mention"/>
    <w:basedOn w:val="DefaultParagraphFont"/>
    <w:uiPriority w:val="99"/>
    <w:unhideWhenUsed/>
    <w:rsid w:val="00181F8B"/>
    <w:rPr>
      <w:color w:val="808080"/>
      <w:shd w:val="clear" w:color="auto" w:fill="E6E6E6"/>
    </w:rPr>
  </w:style>
  <w:style w:type="character" w:customStyle="1" w:styleId="Heading2Char">
    <w:name w:val="Heading 2 Char"/>
    <w:basedOn w:val="DefaultParagraphFont"/>
    <w:link w:val="Heading2"/>
    <w:uiPriority w:val="9"/>
    <w:rsid w:val="009A422F"/>
    <w:rPr>
      <w:rFonts w:ascii="Arial" w:hAnsi="Arial" w:cs="Arial"/>
      <w:b/>
      <w:bCs/>
      <w:sz w:val="28"/>
    </w:rPr>
  </w:style>
  <w:style w:type="character" w:customStyle="1" w:styleId="Heading1Char">
    <w:name w:val="Heading 1 Char"/>
    <w:basedOn w:val="DefaultParagraphFont"/>
    <w:link w:val="Heading1"/>
    <w:uiPriority w:val="9"/>
    <w:rsid w:val="007807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80728"/>
    <w:pPr>
      <w:spacing w:line="259" w:lineRule="auto"/>
      <w:outlineLvl w:val="9"/>
    </w:pPr>
    <w:rPr>
      <w:lang w:val="en-US"/>
    </w:rPr>
  </w:style>
  <w:style w:type="paragraph" w:styleId="TOC2">
    <w:name w:val="toc 2"/>
    <w:basedOn w:val="Normal"/>
    <w:next w:val="Normal"/>
    <w:autoRedefine/>
    <w:uiPriority w:val="39"/>
    <w:unhideWhenUsed/>
    <w:rsid w:val="00780728"/>
    <w:pPr>
      <w:tabs>
        <w:tab w:val="right" w:leader="dot" w:pos="13948"/>
      </w:tabs>
      <w:spacing w:after="100"/>
      <w:ind w:left="220"/>
    </w:pPr>
  </w:style>
  <w:style w:type="character" w:styleId="FollowedHyperlink">
    <w:name w:val="FollowedHyperlink"/>
    <w:basedOn w:val="DefaultParagraphFont"/>
    <w:uiPriority w:val="99"/>
    <w:semiHidden/>
    <w:unhideWhenUsed/>
    <w:rsid w:val="00BC6F6B"/>
    <w:rPr>
      <w:color w:val="800080" w:themeColor="followedHyperlink"/>
      <w:u w:val="single"/>
    </w:rPr>
  </w:style>
  <w:style w:type="character" w:styleId="Mention">
    <w:name w:val="Mention"/>
    <w:basedOn w:val="DefaultParagraphFont"/>
    <w:uiPriority w:val="99"/>
    <w:unhideWhenUsed/>
    <w:rsid w:val="0087314A"/>
    <w:rPr>
      <w:color w:val="2B579A"/>
      <w:shd w:val="clear" w:color="auto" w:fill="E1DFDD"/>
    </w:rPr>
  </w:style>
  <w:style w:type="paragraph" w:customStyle="1" w:styleId="paragraph">
    <w:name w:val="paragraph"/>
    <w:basedOn w:val="Normal"/>
    <w:rsid w:val="00033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33D6"/>
  </w:style>
  <w:style w:type="character" w:customStyle="1" w:styleId="eop">
    <w:name w:val="eop"/>
    <w:basedOn w:val="DefaultParagraphFont"/>
    <w:rsid w:val="000333D6"/>
  </w:style>
  <w:style w:type="character" w:customStyle="1" w:styleId="tabchar">
    <w:name w:val="tabchar"/>
    <w:basedOn w:val="DefaultParagraphFont"/>
    <w:rsid w:val="000333D6"/>
  </w:style>
  <w:style w:type="paragraph" w:styleId="FootnoteText">
    <w:name w:val="footnote text"/>
    <w:basedOn w:val="Normal"/>
    <w:link w:val="FootnoteTextChar"/>
    <w:uiPriority w:val="99"/>
    <w:unhideWhenUsed/>
    <w:rsid w:val="001B5D7D"/>
    <w:pPr>
      <w:spacing w:after="0" w:line="240" w:lineRule="auto"/>
    </w:pPr>
    <w:rPr>
      <w:sz w:val="20"/>
      <w:szCs w:val="20"/>
    </w:rPr>
  </w:style>
  <w:style w:type="character" w:customStyle="1" w:styleId="FootnoteTextChar">
    <w:name w:val="Footnote Text Char"/>
    <w:basedOn w:val="DefaultParagraphFont"/>
    <w:link w:val="FootnoteText"/>
    <w:uiPriority w:val="99"/>
    <w:rsid w:val="001B5D7D"/>
    <w:rPr>
      <w:sz w:val="20"/>
      <w:szCs w:val="20"/>
    </w:rPr>
  </w:style>
  <w:style w:type="character" w:styleId="FootnoteReference">
    <w:name w:val="footnote reference"/>
    <w:basedOn w:val="DefaultParagraphFont"/>
    <w:uiPriority w:val="99"/>
    <w:semiHidden/>
    <w:unhideWhenUsed/>
    <w:rsid w:val="001B5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49815">
      <w:bodyDiv w:val="1"/>
      <w:marLeft w:val="0"/>
      <w:marRight w:val="0"/>
      <w:marTop w:val="0"/>
      <w:marBottom w:val="0"/>
      <w:divBdr>
        <w:top w:val="none" w:sz="0" w:space="0" w:color="auto"/>
        <w:left w:val="none" w:sz="0" w:space="0" w:color="auto"/>
        <w:bottom w:val="none" w:sz="0" w:space="0" w:color="auto"/>
        <w:right w:val="none" w:sz="0" w:space="0" w:color="auto"/>
      </w:divBdr>
    </w:div>
    <w:div w:id="1075055089">
      <w:bodyDiv w:val="1"/>
      <w:marLeft w:val="0"/>
      <w:marRight w:val="0"/>
      <w:marTop w:val="0"/>
      <w:marBottom w:val="0"/>
      <w:divBdr>
        <w:top w:val="none" w:sz="0" w:space="0" w:color="auto"/>
        <w:left w:val="none" w:sz="0" w:space="0" w:color="auto"/>
        <w:bottom w:val="none" w:sz="0" w:space="0" w:color="auto"/>
        <w:right w:val="none" w:sz="0" w:space="0" w:color="auto"/>
      </w:divBdr>
      <w:divsChild>
        <w:div w:id="796219440">
          <w:marLeft w:val="0"/>
          <w:marRight w:val="0"/>
          <w:marTop w:val="0"/>
          <w:marBottom w:val="0"/>
          <w:divBdr>
            <w:top w:val="none" w:sz="0" w:space="0" w:color="auto"/>
            <w:left w:val="none" w:sz="0" w:space="0" w:color="auto"/>
            <w:bottom w:val="none" w:sz="0" w:space="0" w:color="auto"/>
            <w:right w:val="none" w:sz="0" w:space="0" w:color="auto"/>
          </w:divBdr>
        </w:div>
        <w:div w:id="1979214997">
          <w:marLeft w:val="0"/>
          <w:marRight w:val="0"/>
          <w:marTop w:val="0"/>
          <w:marBottom w:val="0"/>
          <w:divBdr>
            <w:top w:val="none" w:sz="0" w:space="0" w:color="auto"/>
            <w:left w:val="none" w:sz="0" w:space="0" w:color="auto"/>
            <w:bottom w:val="none" w:sz="0" w:space="0" w:color="auto"/>
            <w:right w:val="none" w:sz="0" w:space="0" w:color="auto"/>
          </w:divBdr>
        </w:div>
      </w:divsChild>
    </w:div>
    <w:div w:id="14021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cqc.org.uk/guidance-providers/regulations-enforcement/regulation-18-notification-other-incid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qc.org.uk/publications/major-reports/cqc-insight-15-staff-vacancies-care-homes" TargetMode="Externa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cqc.org.uk/about-us/transparency/using-cqc-data"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killsforcare.org.uk/adult-social-care-workforce-data-old/Workforce-intelligence/documents/State-of-the-adult-social-care-sector/The-state-of-the-adult-social-care-sector-and-workforce-202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llsforcare.org.uk/adult-social-care-workforce-data-old/Workforce-intelligence/documents/State-of-the-adult-social-care-sector/The-State-of-the-Adult-Social-Care-Sector-and-Workforce-2021.pdf"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oleObject" Target="https://itservicemanagementcqcorg.sharepoint.com/sites/ProviderAnalytics/Shared%20Documents/ASC%20Intel%20Mon%20and%20Data%20Dev/ASC%20Covid%2019%20Analysis/ASC%20Vacancy%20Rates/20220202%20ASC%20Vacancy%20Rates%20Res%20PIR%20analysis%20April%202021%20to%20Ja"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2825896762903"/>
          <c:y val="7.9120370370370396E-2"/>
          <c:w val="0.88546062992125985"/>
          <c:h val="0.82736913094196562"/>
        </c:manualLayout>
      </c:layout>
      <c:lineChart>
        <c:grouping val="standard"/>
        <c:varyColors val="0"/>
        <c:ser>
          <c:idx val="0"/>
          <c:order val="0"/>
          <c:tx>
            <c:strRef>
              <c:f>'[20220202 ASC Vacancy Rates Res PIR analysis April 2021 to Jan 2022 Draft v1.xlsx]Tables Apr - Jan'!$C$4</c:f>
              <c:strCache>
                <c:ptCount val="1"/>
                <c:pt idx="0">
                  <c:v>Vacancy rate</c:v>
                </c:pt>
              </c:strCache>
            </c:strRef>
          </c:tx>
          <c:spPr>
            <a:ln w="28575" cap="rnd">
              <a:solidFill>
                <a:schemeClr val="accent1"/>
              </a:solidFill>
              <a:round/>
            </a:ln>
            <a:effectLst/>
          </c:spPr>
          <c:marker>
            <c:symbol val="none"/>
          </c:marker>
          <c:dLbls>
            <c:dLbl>
              <c:idx val="0"/>
              <c:layout>
                <c:manualLayout>
                  <c:x val="-2.2222222222222223E-2"/>
                  <c:y val="4.62962962962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3E-4276-8952-8BFA0B4D8F98}"/>
                </c:ext>
              </c:extLst>
            </c:dLbl>
            <c:dLbl>
              <c:idx val="2"/>
              <c:layout>
                <c:manualLayout>
                  <c:x val="-1.1111111111111162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3E-4276-8952-8BFA0B4D8F98}"/>
                </c:ext>
              </c:extLst>
            </c:dLbl>
            <c:dLbl>
              <c:idx val="3"/>
              <c:layout>
                <c:manualLayout>
                  <c:x val="-2.7777777777778286E-3"/>
                  <c:y val="1.851851851851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3E-4276-8952-8BFA0B4D8F98}"/>
                </c:ext>
              </c:extLst>
            </c:dLbl>
            <c:dLbl>
              <c:idx val="5"/>
              <c:layout>
                <c:manualLayout>
                  <c:x val="-8.3333333333333332E-3"/>
                  <c:y val="2.777777777777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3E-4276-8952-8BFA0B4D8F98}"/>
                </c:ext>
              </c:extLst>
            </c:dLbl>
            <c:dLbl>
              <c:idx val="6"/>
              <c:layout>
                <c:manualLayout>
                  <c:x val="-8.3333333333333332E-3"/>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3E-4276-8952-8BFA0B4D8F98}"/>
                </c:ext>
              </c:extLst>
            </c:dLbl>
            <c:dLbl>
              <c:idx val="7"/>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3E-4276-8952-8BFA0B4D8F98}"/>
                </c:ext>
              </c:extLst>
            </c:dLbl>
            <c:dLbl>
              <c:idx val="8"/>
              <c:layout>
                <c:manualLayout>
                  <c:x val="-8.333333333333333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3E-4276-8952-8BFA0B4D8F98}"/>
                </c:ext>
              </c:extLst>
            </c:dLbl>
            <c:dLbl>
              <c:idx val="9"/>
              <c:layout>
                <c:manualLayout>
                  <c:x val="-2.0370135052831988E-16"/>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3E-4276-8952-8BFA0B4D8F9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'[20220202 ASC Vacancy Rates Res PIR analysis April 2021 to Jan 2022 Draft v1.xlsx]Tables Apr - Jan'!$B$5:$B$14</c:f>
              <c:numCache>
                <c:formatCode>mmm\-yy</c:formatCode>
                <c:ptCount val="10"/>
                <c:pt idx="0">
                  <c:v>44287</c:v>
                </c:pt>
                <c:pt idx="1">
                  <c:v>44317</c:v>
                </c:pt>
                <c:pt idx="2">
                  <c:v>44348</c:v>
                </c:pt>
                <c:pt idx="3">
                  <c:v>44378</c:v>
                </c:pt>
                <c:pt idx="4">
                  <c:v>44409</c:v>
                </c:pt>
                <c:pt idx="5">
                  <c:v>44440</c:v>
                </c:pt>
                <c:pt idx="6">
                  <c:v>44470</c:v>
                </c:pt>
                <c:pt idx="7">
                  <c:v>44501</c:v>
                </c:pt>
                <c:pt idx="8">
                  <c:v>44531</c:v>
                </c:pt>
                <c:pt idx="9">
                  <c:v>44562</c:v>
                </c:pt>
              </c:numCache>
            </c:numRef>
          </c:cat>
          <c:val>
            <c:numRef>
              <c:f>'[20220202 ASC Vacancy Rates Res PIR analysis April 2021 to Jan 2022 Draft v1.xlsx]Tables Apr - Jan'!$C$5:$C$14</c:f>
              <c:numCache>
                <c:formatCode>0.0%</c:formatCode>
                <c:ptCount val="10"/>
                <c:pt idx="0">
                  <c:v>5.98562949078413E-2</c:v>
                </c:pt>
                <c:pt idx="1">
                  <c:v>6.1842900302114805E-2</c:v>
                </c:pt>
                <c:pt idx="2">
                  <c:v>7.5547373265829443E-2</c:v>
                </c:pt>
                <c:pt idx="3">
                  <c:v>8.5347820496335353E-2</c:v>
                </c:pt>
                <c:pt idx="4">
                  <c:v>8.9021827000808407E-2</c:v>
                </c:pt>
                <c:pt idx="5">
                  <c:v>0.10215197487134933</c:v>
                </c:pt>
                <c:pt idx="6">
                  <c:v>0.10397575074016636</c:v>
                </c:pt>
                <c:pt idx="7">
                  <c:v>0.11049348038201118</c:v>
                </c:pt>
                <c:pt idx="8">
                  <c:v>0.11469238589838705</c:v>
                </c:pt>
                <c:pt idx="9">
                  <c:v>0.11374302384576357</c:v>
                </c:pt>
              </c:numCache>
            </c:numRef>
          </c:val>
          <c:smooth val="0"/>
          <c:extLst>
            <c:ext xmlns:c16="http://schemas.microsoft.com/office/drawing/2014/chart" uri="{C3380CC4-5D6E-409C-BE32-E72D297353CC}">
              <c16:uniqueId val="{00000008-DC3E-4276-8952-8BFA0B4D8F98}"/>
            </c:ext>
          </c:extLst>
        </c:ser>
        <c:dLbls>
          <c:showLegendKey val="0"/>
          <c:showVal val="0"/>
          <c:showCatName val="0"/>
          <c:showSerName val="0"/>
          <c:showPercent val="0"/>
          <c:showBubbleSize val="0"/>
        </c:dLbls>
        <c:smooth val="0"/>
        <c:axId val="101237616"/>
        <c:axId val="473036944"/>
      </c:lineChart>
      <c:dateAx>
        <c:axId val="10123761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3036944"/>
        <c:crosses val="autoZero"/>
        <c:auto val="1"/>
        <c:lblOffset val="100"/>
        <c:baseTimeUnit val="months"/>
      </c:dateAx>
      <c:valAx>
        <c:axId val="473036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1237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'[20220202 ASC Vacancy Rates Res PIR analysis April 2021 to Jan 2022 Draft v1.xlsx]Tables Apr - Jan'!$C$17</c:f>
              <c:strCache>
                <c:ptCount val="1"/>
                <c:pt idx="0">
                  <c:v>Turnover</c:v>
                </c:pt>
              </c:strCache>
            </c:strRef>
          </c:tx>
          <c:spPr>
            <a:ln w="28575" cap="rnd">
              <a:solidFill>
                <a:schemeClr val="accent1"/>
              </a:solidFill>
              <a:round/>
            </a:ln>
            <a:effectLst/>
          </c:spPr>
          <c:marker>
            <c:symbol val="none"/>
          </c:marker>
          <c:dLbls>
            <c:dLbl>
              <c:idx val="1"/>
              <c:layout>
                <c:manualLayout>
                  <c:x val="-8.3333333333333332E-3"/>
                  <c:y val="3.7037037037036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49-41B7-BBE3-56A42967416B}"/>
                </c:ext>
              </c:extLst>
            </c:dLbl>
            <c:dLbl>
              <c:idx val="2"/>
              <c:layout>
                <c:manualLayout>
                  <c:x val="-2.7777777777777779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49-41B7-BBE3-56A42967416B}"/>
                </c:ext>
              </c:extLst>
            </c:dLbl>
            <c:dLbl>
              <c:idx val="3"/>
              <c:layout>
                <c:manualLayout>
                  <c:x val="-3.3333333333333381E-2"/>
                  <c:y val="3.2407407407407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49-41B7-BBE3-56A42967416B}"/>
                </c:ext>
              </c:extLst>
            </c:dLbl>
            <c:dLbl>
              <c:idx val="4"/>
              <c:layout>
                <c:manualLayout>
                  <c:x val="-3.0555555555555555E-2"/>
                  <c:y val="5.0925925925925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49-41B7-BBE3-56A42967416B}"/>
                </c:ext>
              </c:extLst>
            </c:dLbl>
            <c:dLbl>
              <c:idx val="5"/>
              <c:layout>
                <c:manualLayout>
                  <c:x val="-2.500000000000010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49-41B7-BBE3-56A42967416B}"/>
                </c:ext>
              </c:extLst>
            </c:dLbl>
            <c:dLbl>
              <c:idx val="6"/>
              <c:layout>
                <c:manualLayout>
                  <c:x val="-1.111111111111111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49-41B7-BBE3-56A42967416B}"/>
                </c:ext>
              </c:extLst>
            </c:dLbl>
            <c:dLbl>
              <c:idx val="7"/>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49-41B7-BBE3-56A42967416B}"/>
                </c:ext>
              </c:extLst>
            </c:dLbl>
            <c:dLbl>
              <c:idx val="8"/>
              <c:layout>
                <c:manualLayout>
                  <c:x val="-2.777777777777788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49-41B7-BBE3-56A42967416B}"/>
                </c:ext>
              </c:extLst>
            </c:dLbl>
            <c:dLbl>
              <c:idx val="9"/>
              <c:layout>
                <c:manualLayout>
                  <c:x val="-8.3333333333334356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49-41B7-BBE3-56A4296741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'[20220202 ASC Vacancy Rates Res PIR analysis April 2021 to Jan 2022 Draft v1.xlsx]Tables Apr - Jan'!$B$18:$B$27</c:f>
              <c:numCache>
                <c:formatCode>mmm\-yy</c:formatCode>
                <c:ptCount val="10"/>
                <c:pt idx="0">
                  <c:v>44287</c:v>
                </c:pt>
                <c:pt idx="1">
                  <c:v>44317</c:v>
                </c:pt>
                <c:pt idx="2">
                  <c:v>44348</c:v>
                </c:pt>
                <c:pt idx="3">
                  <c:v>44378</c:v>
                </c:pt>
                <c:pt idx="4">
                  <c:v>44409</c:v>
                </c:pt>
                <c:pt idx="5">
                  <c:v>44440</c:v>
                </c:pt>
                <c:pt idx="6">
                  <c:v>44470</c:v>
                </c:pt>
                <c:pt idx="7">
                  <c:v>44501</c:v>
                </c:pt>
                <c:pt idx="8">
                  <c:v>44531</c:v>
                </c:pt>
                <c:pt idx="9">
                  <c:v>44562</c:v>
                </c:pt>
              </c:numCache>
            </c:numRef>
          </c:cat>
          <c:val>
            <c:numRef>
              <c:f>'[20220202 ASC Vacancy Rates Res PIR analysis April 2021 to Jan 2022 Draft v1.xlsx]Tables Apr - Jan'!$C$18:$C$27</c:f>
              <c:numCache>
                <c:formatCode>0.0%</c:formatCode>
                <c:ptCount val="10"/>
                <c:pt idx="0">
                  <c:v>0.26483684455373163</c:v>
                </c:pt>
                <c:pt idx="1">
                  <c:v>0.29504395710559367</c:v>
                </c:pt>
                <c:pt idx="2">
                  <c:v>0.2987908961593172</c:v>
                </c:pt>
                <c:pt idx="3">
                  <c:v>0.3163462552279197</c:v>
                </c:pt>
                <c:pt idx="4">
                  <c:v>0.29607411614368878</c:v>
                </c:pt>
                <c:pt idx="5">
                  <c:v>0.29416800029774087</c:v>
                </c:pt>
                <c:pt idx="6">
                  <c:v>0.32659376393150291</c:v>
                </c:pt>
                <c:pt idx="7">
                  <c:v>0.35384257412578113</c:v>
                </c:pt>
                <c:pt idx="8">
                  <c:v>0.35432508768118193</c:v>
                </c:pt>
                <c:pt idx="9">
                  <c:v>0.36273211921714549</c:v>
                </c:pt>
              </c:numCache>
            </c:numRef>
          </c:val>
          <c:smooth val="0"/>
          <c:extLst>
            <c:ext xmlns:c16="http://schemas.microsoft.com/office/drawing/2014/chart" uri="{C3380CC4-5D6E-409C-BE32-E72D297353CC}">
              <c16:uniqueId val="{00000009-9A49-41B7-BBE3-56A42967416B}"/>
            </c:ext>
          </c:extLst>
        </c:ser>
        <c:dLbls>
          <c:showLegendKey val="0"/>
          <c:showVal val="0"/>
          <c:showCatName val="0"/>
          <c:showSerName val="0"/>
          <c:showPercent val="0"/>
          <c:showBubbleSize val="0"/>
        </c:dLbls>
        <c:smooth val="0"/>
        <c:axId val="1144722976"/>
        <c:axId val="1144456672"/>
      </c:lineChart>
      <c:dateAx>
        <c:axId val="114472297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44456672"/>
        <c:crosses val="autoZero"/>
        <c:auto val="1"/>
        <c:lblOffset val="100"/>
        <c:baseTimeUnit val="months"/>
      </c:dateAx>
      <c:valAx>
        <c:axId val="1144456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44722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'[20220202 ASC Vacancy Rates Res PIR analysis April 2021 to Jan 2022 Draft v1.xlsx]Tables Apr - Jan'!$H$17</c:f>
              <c:strCache>
                <c:ptCount val="1"/>
                <c:pt idx="0">
                  <c:v>Occupancy</c:v>
                </c:pt>
              </c:strCache>
            </c:strRef>
          </c:tx>
          <c:spPr>
            <a:ln w="28575" cap="rnd">
              <a:solidFill>
                <a:schemeClr val="accent1"/>
              </a:solidFill>
              <a:round/>
            </a:ln>
            <a:effectLst/>
          </c:spPr>
          <c:marker>
            <c:symbol val="none"/>
          </c:marker>
          <c:dLbls>
            <c:dLbl>
              <c:idx val="0"/>
              <c:layout>
                <c:manualLayout>
                  <c:x val="-4.1666666666666664E-2"/>
                  <c:y val="4.62962962962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EC-4E82-889E-4DCC1388A53B}"/>
                </c:ext>
              </c:extLst>
            </c:dLbl>
            <c:dLbl>
              <c:idx val="1"/>
              <c:layout>
                <c:manualLayout>
                  <c:x val="-3.055555555555555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EC-4E82-889E-4DCC1388A53B}"/>
                </c:ext>
              </c:extLst>
            </c:dLbl>
            <c:dLbl>
              <c:idx val="2"/>
              <c:layout>
                <c:manualLayout>
                  <c:x val="-2.7777777777777776E-2"/>
                  <c:y val="3.240740740740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EC-4E82-889E-4DCC1388A53B}"/>
                </c:ext>
              </c:extLst>
            </c:dLbl>
            <c:dLbl>
              <c:idx val="3"/>
              <c:layout>
                <c:manualLayout>
                  <c:x val="-1.944444444444444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EC-4E82-889E-4DCC1388A53B}"/>
                </c:ext>
              </c:extLst>
            </c:dLbl>
            <c:dLbl>
              <c:idx val="4"/>
              <c:layout>
                <c:manualLayout>
                  <c:x val="-3.888888888888889E-2"/>
                  <c:y val="5.5555555555555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EC-4E82-889E-4DCC1388A53B}"/>
                </c:ext>
              </c:extLst>
            </c:dLbl>
            <c:dLbl>
              <c:idx val="5"/>
              <c:layout>
                <c:manualLayout>
                  <c:x val="-4.4444444444444543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EC-4E82-889E-4DCC1388A53B}"/>
                </c:ext>
              </c:extLst>
            </c:dLbl>
            <c:dLbl>
              <c:idx val="6"/>
              <c:layout>
                <c:manualLayout>
                  <c:x val="-2.7777777777777776E-2"/>
                  <c:y val="3.7037037037036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EC-4E82-889E-4DCC1388A53B}"/>
                </c:ext>
              </c:extLst>
            </c:dLbl>
            <c:dLbl>
              <c:idx val="7"/>
              <c:layout>
                <c:manualLayout>
                  <c:x val="-3.3333333333333333E-2"/>
                  <c:y val="4.6296296296296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EC-4E82-889E-4DCC1388A53B}"/>
                </c:ext>
              </c:extLst>
            </c:dLbl>
            <c:dLbl>
              <c:idx val="8"/>
              <c:layout>
                <c:manualLayout>
                  <c:x val="-2.222222222222211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EC-4E82-889E-4DCC1388A53B}"/>
                </c:ext>
              </c:extLst>
            </c:dLbl>
            <c:dLbl>
              <c:idx val="9"/>
              <c:layout>
                <c:manualLayout>
                  <c:x val="-2.0370135052831988E-16"/>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4EC-4E82-889E-4DCC1388A53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'[20220202 ASC Vacancy Rates Res PIR analysis April 2021 to Jan 2022 Draft v1.xlsx]Tables Apr - Jan'!$G$18:$G$27</c:f>
              <c:numCache>
                <c:formatCode>mmm\-yy</c:formatCode>
                <c:ptCount val="10"/>
                <c:pt idx="0">
                  <c:v>44287</c:v>
                </c:pt>
                <c:pt idx="1">
                  <c:v>44317</c:v>
                </c:pt>
                <c:pt idx="2">
                  <c:v>44348</c:v>
                </c:pt>
                <c:pt idx="3">
                  <c:v>44378</c:v>
                </c:pt>
                <c:pt idx="4">
                  <c:v>44409</c:v>
                </c:pt>
                <c:pt idx="5">
                  <c:v>44440</c:v>
                </c:pt>
                <c:pt idx="6">
                  <c:v>44470</c:v>
                </c:pt>
                <c:pt idx="7">
                  <c:v>44501</c:v>
                </c:pt>
                <c:pt idx="8">
                  <c:v>44531</c:v>
                </c:pt>
                <c:pt idx="9">
                  <c:v>44562</c:v>
                </c:pt>
              </c:numCache>
            </c:numRef>
          </c:cat>
          <c:val>
            <c:numRef>
              <c:f>'[20220202 ASC Vacancy Rates Res PIR analysis April 2021 to Jan 2022 Draft v1.xlsx]Tables Apr - Jan'!$H$18:$H$27</c:f>
              <c:numCache>
                <c:formatCode>0.0%</c:formatCode>
                <c:ptCount val="10"/>
                <c:pt idx="0">
                  <c:v>0.75893643921688825</c:v>
                </c:pt>
                <c:pt idx="1">
                  <c:v>0.75149245822883182</c:v>
                </c:pt>
                <c:pt idx="2">
                  <c:v>0.756356513222331</c:v>
                </c:pt>
                <c:pt idx="3">
                  <c:v>0.78398697876298251</c:v>
                </c:pt>
                <c:pt idx="4">
                  <c:v>0.79929686292690461</c:v>
                </c:pt>
                <c:pt idx="5">
                  <c:v>0.79743707860463164</c:v>
                </c:pt>
                <c:pt idx="6">
                  <c:v>0.7843545169563978</c:v>
                </c:pt>
                <c:pt idx="7">
                  <c:v>0.79497788557568838</c:v>
                </c:pt>
                <c:pt idx="8">
                  <c:v>0.7915583982943567</c:v>
                </c:pt>
                <c:pt idx="9">
                  <c:v>0.80359820089955025</c:v>
                </c:pt>
              </c:numCache>
            </c:numRef>
          </c:val>
          <c:smooth val="0"/>
          <c:extLst>
            <c:ext xmlns:c16="http://schemas.microsoft.com/office/drawing/2014/chart" uri="{C3380CC4-5D6E-409C-BE32-E72D297353CC}">
              <c16:uniqueId val="{0000000A-34EC-4E82-889E-4DCC1388A53B}"/>
            </c:ext>
          </c:extLst>
        </c:ser>
        <c:dLbls>
          <c:showLegendKey val="0"/>
          <c:showVal val="0"/>
          <c:showCatName val="0"/>
          <c:showSerName val="0"/>
          <c:showPercent val="0"/>
          <c:showBubbleSize val="0"/>
        </c:dLbls>
        <c:smooth val="0"/>
        <c:axId val="457957168"/>
        <c:axId val="1142165568"/>
      </c:lineChart>
      <c:dateAx>
        <c:axId val="4579571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42165568"/>
        <c:crosses val="autoZero"/>
        <c:auto val="1"/>
        <c:lblOffset val="100"/>
        <c:baseTimeUnit val="months"/>
      </c:dateAx>
      <c:valAx>
        <c:axId val="1142165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7957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d162527-c308-4a98-98b8-9e726c57dd8b">
      <UserInfo>
        <DisplayName>Fisher, Charlie</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4" ma:contentTypeDescription="Create a new document." ma:contentTypeScope="" ma:versionID="5b2042ecae24d287b4cb9d83ca413752">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f581df1902eb63022c1f65a56fb0059"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D880-F5D1-4C10-BCCA-4E66A52CDA45}">
  <ds:schemaRefs>
    <ds:schemaRef ds:uri="http://schemas.microsoft.com/office/2006/metadata/properties"/>
    <ds:schemaRef ds:uri="1d162527-c308-4a98-98b8-9e726c57dd8b"/>
  </ds:schemaRefs>
</ds:datastoreItem>
</file>

<file path=customXml/itemProps2.xml><?xml version="1.0" encoding="utf-8"?>
<ds:datastoreItem xmlns:ds="http://schemas.openxmlformats.org/officeDocument/2006/customXml" ds:itemID="{1CEBFD17-EFE3-49CE-88B0-995F2554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7253D-9EC7-433F-AA37-D728B3DFAA45}">
  <ds:schemaRefs>
    <ds:schemaRef ds:uri="http://schemas.microsoft.com/sharepoint/v3/contenttype/forms"/>
  </ds:schemaRefs>
</ds:datastoreItem>
</file>

<file path=customXml/itemProps4.xml><?xml version="1.0" encoding="utf-8"?>
<ds:datastoreItem xmlns:ds="http://schemas.openxmlformats.org/officeDocument/2006/customXml" ds:itemID="{E8A4F3DD-A367-4536-B442-7355CEA1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Board Meeting Paper template</vt:lpstr>
    </vt:vector>
  </TitlesOfParts>
  <Company>IMS3</Company>
  <LinksUpToDate>false</LinksUpToDate>
  <CharactersWithSpaces>9599</CharactersWithSpaces>
  <SharedDoc>false</SharedDoc>
  <HLinks>
    <vt:vector size="84" baseType="variant">
      <vt:variant>
        <vt:i4>6422648</vt:i4>
      </vt:variant>
      <vt:variant>
        <vt:i4>51</vt:i4>
      </vt:variant>
      <vt:variant>
        <vt:i4>0</vt:i4>
      </vt:variant>
      <vt:variant>
        <vt:i4>5</vt:i4>
      </vt:variant>
      <vt:variant>
        <vt:lpwstr>https://www.cqc.org.uk/about-us/transparency/using-cqc-data</vt:lpwstr>
      </vt:variant>
      <vt:variant>
        <vt:lpwstr/>
      </vt:variant>
      <vt:variant>
        <vt:i4>3604535</vt:i4>
      </vt:variant>
      <vt:variant>
        <vt:i4>48</vt:i4>
      </vt:variant>
      <vt:variant>
        <vt:i4>0</vt:i4>
      </vt:variant>
      <vt:variant>
        <vt:i4>5</vt:i4>
      </vt:variant>
      <vt:variant>
        <vt:lpwstr>https://www.cqc.org.uk/guidance-providers/regulations-enforcement/regulation-18-notification-other-incidents</vt:lpwstr>
      </vt:variant>
      <vt:variant>
        <vt:lpwstr>full-regulation</vt:lpwstr>
      </vt:variant>
      <vt:variant>
        <vt:i4>1703961</vt:i4>
      </vt:variant>
      <vt:variant>
        <vt:i4>45</vt:i4>
      </vt:variant>
      <vt:variant>
        <vt:i4>0</vt:i4>
      </vt:variant>
      <vt:variant>
        <vt:i4>5</vt:i4>
      </vt:variant>
      <vt:variant>
        <vt:lpwstr>https://www.skillsforcare.org.uk/adult-social-care-workforce-data-old/Workforce-intelligence/documents/State-of-the-adult-social-care-sector/The-state-of-the-adult-social-care-sector-and-workforce-2020.pdf</vt:lpwstr>
      </vt:variant>
      <vt:variant>
        <vt:lpwstr/>
      </vt:variant>
      <vt:variant>
        <vt:i4>1703960</vt:i4>
      </vt:variant>
      <vt:variant>
        <vt:i4>42</vt:i4>
      </vt:variant>
      <vt:variant>
        <vt:i4>0</vt:i4>
      </vt:variant>
      <vt:variant>
        <vt:i4>5</vt:i4>
      </vt:variant>
      <vt:variant>
        <vt:lpwstr>https://www.skillsforcare.org.uk/adult-social-care-workforce-data-old/Workforce-intelligence/documents/State-of-the-adult-social-care-sector/The-State-of-the-Adult-Social-Care-Sector-and-Workforce-2021.pdf</vt:lpwstr>
      </vt:variant>
      <vt:variant>
        <vt:lpwstr/>
      </vt:variant>
      <vt:variant>
        <vt:i4>6815862</vt:i4>
      </vt:variant>
      <vt:variant>
        <vt:i4>39</vt:i4>
      </vt:variant>
      <vt:variant>
        <vt:i4>0</vt:i4>
      </vt:variant>
      <vt:variant>
        <vt:i4>5</vt:i4>
      </vt:variant>
      <vt:variant>
        <vt:lpwstr>https://www.cqc.org.uk/publications/major-reports/cqc-insight-15-staff-vacancies-care-homes</vt:lpwstr>
      </vt:variant>
      <vt:variant>
        <vt:lpwstr/>
      </vt:variant>
      <vt:variant>
        <vt:i4>1966136</vt:i4>
      </vt:variant>
      <vt:variant>
        <vt:i4>32</vt:i4>
      </vt:variant>
      <vt:variant>
        <vt:i4>0</vt:i4>
      </vt:variant>
      <vt:variant>
        <vt:i4>5</vt:i4>
      </vt:variant>
      <vt:variant>
        <vt:lpwstr/>
      </vt:variant>
      <vt:variant>
        <vt:lpwstr>_Toc95382602</vt:lpwstr>
      </vt:variant>
      <vt:variant>
        <vt:i4>1900600</vt:i4>
      </vt:variant>
      <vt:variant>
        <vt:i4>26</vt:i4>
      </vt:variant>
      <vt:variant>
        <vt:i4>0</vt:i4>
      </vt:variant>
      <vt:variant>
        <vt:i4>5</vt:i4>
      </vt:variant>
      <vt:variant>
        <vt:lpwstr/>
      </vt:variant>
      <vt:variant>
        <vt:lpwstr>_Toc95382601</vt:lpwstr>
      </vt:variant>
      <vt:variant>
        <vt:i4>1835064</vt:i4>
      </vt:variant>
      <vt:variant>
        <vt:i4>20</vt:i4>
      </vt:variant>
      <vt:variant>
        <vt:i4>0</vt:i4>
      </vt:variant>
      <vt:variant>
        <vt:i4>5</vt:i4>
      </vt:variant>
      <vt:variant>
        <vt:lpwstr/>
      </vt:variant>
      <vt:variant>
        <vt:lpwstr>_Toc95382600</vt:lpwstr>
      </vt:variant>
      <vt:variant>
        <vt:i4>1441841</vt:i4>
      </vt:variant>
      <vt:variant>
        <vt:i4>14</vt:i4>
      </vt:variant>
      <vt:variant>
        <vt:i4>0</vt:i4>
      </vt:variant>
      <vt:variant>
        <vt:i4>5</vt:i4>
      </vt:variant>
      <vt:variant>
        <vt:lpwstr/>
      </vt:variant>
      <vt:variant>
        <vt:lpwstr>_Toc95382599</vt:lpwstr>
      </vt:variant>
      <vt:variant>
        <vt:i4>1507377</vt:i4>
      </vt:variant>
      <vt:variant>
        <vt:i4>8</vt:i4>
      </vt:variant>
      <vt:variant>
        <vt:i4>0</vt:i4>
      </vt:variant>
      <vt:variant>
        <vt:i4>5</vt:i4>
      </vt:variant>
      <vt:variant>
        <vt:lpwstr/>
      </vt:variant>
      <vt:variant>
        <vt:lpwstr>_Toc95382598</vt:lpwstr>
      </vt:variant>
      <vt:variant>
        <vt:i4>1638449</vt:i4>
      </vt:variant>
      <vt:variant>
        <vt:i4>2</vt:i4>
      </vt:variant>
      <vt:variant>
        <vt:i4>0</vt:i4>
      </vt:variant>
      <vt:variant>
        <vt:i4>5</vt:i4>
      </vt:variant>
      <vt:variant>
        <vt:lpwstr/>
      </vt:variant>
      <vt:variant>
        <vt:lpwstr>_Toc95382596</vt:lpwstr>
      </vt:variant>
      <vt:variant>
        <vt:i4>4259941</vt:i4>
      </vt:variant>
      <vt:variant>
        <vt:i4>6</vt:i4>
      </vt:variant>
      <vt:variant>
        <vt:i4>0</vt:i4>
      </vt:variant>
      <vt:variant>
        <vt:i4>5</vt:i4>
      </vt:variant>
      <vt:variant>
        <vt:lpwstr>mailto:Sarah.Duggan@cqc.org.uk</vt:lpwstr>
      </vt:variant>
      <vt:variant>
        <vt:lpwstr/>
      </vt:variant>
      <vt:variant>
        <vt:i4>3801116</vt:i4>
      </vt:variant>
      <vt:variant>
        <vt:i4>3</vt:i4>
      </vt:variant>
      <vt:variant>
        <vt:i4>0</vt:i4>
      </vt:variant>
      <vt:variant>
        <vt:i4>5</vt:i4>
      </vt:variant>
      <vt:variant>
        <vt:lpwstr>mailto:David.Gledhill@cqc.org.uk</vt:lpwstr>
      </vt:variant>
      <vt:variant>
        <vt:lpwstr/>
      </vt:variant>
      <vt:variant>
        <vt:i4>3801116</vt:i4>
      </vt:variant>
      <vt:variant>
        <vt:i4>0</vt:i4>
      </vt:variant>
      <vt:variant>
        <vt:i4>0</vt:i4>
      </vt:variant>
      <vt:variant>
        <vt:i4>5</vt:i4>
      </vt:variant>
      <vt:variant>
        <vt:lpwstr>mailto:David.Gledhill@cqc.org.uk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Paper template</dc:title>
  <dc:subject/>
  <dc:creator>Ricot, Vincent</dc:creator>
  <cp:keywords/>
  <cp:lastModifiedBy>Griffiths, Owen</cp:lastModifiedBy>
  <cp:revision>384</cp:revision>
  <cp:lastPrinted>2018-12-07T10:39:00Z</cp:lastPrinted>
  <dcterms:created xsi:type="dcterms:W3CDTF">2022-02-03T14:48:00Z</dcterms:created>
  <dcterms:modified xsi:type="dcterms:W3CDTF">2022-02-22T11:33:00Z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